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CF2" w:rsidRPr="003D1478" w:rsidRDefault="001B2CF2" w:rsidP="00635FA1">
      <w:pPr>
        <w:pStyle w:val="Default"/>
        <w:shd w:val="clear" w:color="auto" w:fill="0099CC"/>
        <w:jc w:val="both"/>
        <w:rPr>
          <w:rFonts w:ascii="Arial Black" w:hAnsi="Arial Black"/>
          <w:b/>
          <w:noProof/>
          <w:color w:val="F79646" w:themeColor="accent6"/>
          <w:sz w:val="16"/>
          <w:szCs w:val="16"/>
          <w:shd w:val="clear" w:color="auto" w:fill="D9D9D9" w:themeFill="background1" w:themeFillShade="D9"/>
          <w:lang w:eastAsia="en-GB"/>
        </w:rPr>
      </w:pPr>
    </w:p>
    <w:p w:rsidR="003D1478" w:rsidRDefault="003D1478" w:rsidP="00635FA1">
      <w:pPr>
        <w:pStyle w:val="Default"/>
        <w:shd w:val="clear" w:color="auto" w:fill="0099CC"/>
        <w:jc w:val="both"/>
        <w:rPr>
          <w:rFonts w:ascii="Arial Black" w:hAnsi="Arial Black"/>
          <w:b/>
          <w:noProof/>
          <w:color w:val="F79646" w:themeColor="accent6"/>
          <w:sz w:val="20"/>
          <w:szCs w:val="20"/>
          <w:shd w:val="clear" w:color="auto" w:fill="D9D9D9" w:themeFill="background1" w:themeFillShade="D9"/>
          <w:lang w:eastAsia="en-GB"/>
        </w:rPr>
      </w:pPr>
      <w:r w:rsidRPr="00471626">
        <w:rPr>
          <w:rFonts w:ascii="Arial Black" w:hAnsi="Arial Black"/>
          <w:b/>
          <w:noProof/>
          <w:color w:val="F79646" w:themeColor="accent6"/>
          <w:sz w:val="20"/>
          <w:szCs w:val="20"/>
          <w:shd w:val="clear" w:color="auto" w:fill="0099CC"/>
          <w:lang w:eastAsia="en-GB"/>
        </w:rPr>
        <w:t xml:space="preserve"> </w:t>
      </w:r>
      <w:r>
        <w:rPr>
          <w:rFonts w:ascii="PT Sans" w:hAnsi="PT Sans"/>
          <w:noProof/>
          <w:color w:val="0000FF"/>
          <w:sz w:val="21"/>
          <w:szCs w:val="21"/>
          <w:lang w:eastAsia="en-GB"/>
        </w:rPr>
        <w:drawing>
          <wp:inline distT="0" distB="0" distL="0" distR="0" wp14:anchorId="4EC0AE5A" wp14:editId="50ED8DF5">
            <wp:extent cx="2466975" cy="621030"/>
            <wp:effectExtent l="0" t="0" r="9525" b="7620"/>
            <wp:docPr id="2" name="Picture 2" descr="Abertay Logo - click to return to the homepage">
              <a:hlinkClick xmlns:a="http://schemas.openxmlformats.org/drawingml/2006/main" r:id="rId5" tooltip="&quot;Click to return to the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ertay Logo - click to return to the homepage">
                      <a:hlinkClick r:id="rId5" tooltip="&quot;Click to return to the homep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621030"/>
                    </a:xfrm>
                    <a:prstGeom prst="rect">
                      <a:avLst/>
                    </a:prstGeom>
                    <a:noFill/>
                    <a:ln>
                      <a:noFill/>
                    </a:ln>
                  </pic:spPr>
                </pic:pic>
              </a:graphicData>
            </a:graphic>
          </wp:inline>
        </w:drawing>
      </w:r>
      <w:r>
        <w:rPr>
          <w:rFonts w:ascii="Arial Black" w:hAnsi="Arial Black"/>
          <w:b/>
          <w:noProof/>
          <w:color w:val="F79646" w:themeColor="accent6"/>
          <w:sz w:val="20"/>
          <w:szCs w:val="20"/>
          <w:shd w:val="clear" w:color="auto" w:fill="D9D9D9" w:themeFill="background1" w:themeFillShade="D9"/>
          <w:lang w:eastAsia="en-GB"/>
        </w:rPr>
        <w:t xml:space="preserve"> </w:t>
      </w:r>
    </w:p>
    <w:p w:rsidR="003D1478" w:rsidRDefault="003D1478" w:rsidP="00635FA1">
      <w:pPr>
        <w:pStyle w:val="Default"/>
        <w:shd w:val="clear" w:color="auto" w:fill="0099CC"/>
        <w:jc w:val="both"/>
        <w:rPr>
          <w:rFonts w:ascii="Arial Black" w:hAnsi="Arial Black"/>
          <w:b/>
          <w:noProof/>
          <w:color w:val="F79646" w:themeColor="accent6"/>
          <w:sz w:val="20"/>
          <w:szCs w:val="20"/>
          <w:shd w:val="clear" w:color="auto" w:fill="D9D9D9" w:themeFill="background1" w:themeFillShade="D9"/>
          <w:lang w:eastAsia="en-GB"/>
        </w:rPr>
      </w:pPr>
    </w:p>
    <w:p w:rsidR="003D1478" w:rsidRPr="002E7C6A" w:rsidRDefault="002E7C6A" w:rsidP="00635FA1">
      <w:pPr>
        <w:shd w:val="clear" w:color="auto" w:fill="0099CC"/>
        <w:spacing w:after="0" w:line="240" w:lineRule="auto"/>
        <w:jc w:val="both"/>
        <w:rPr>
          <w:rFonts w:cs="Arial"/>
          <w:b/>
          <w:color w:val="FFFFFF" w:themeColor="background1"/>
          <w:sz w:val="40"/>
          <w:szCs w:val="40"/>
        </w:rPr>
      </w:pPr>
      <w:r w:rsidRPr="002E7C6A">
        <w:rPr>
          <w:rFonts w:cs="Arial"/>
          <w:b/>
          <w:color w:val="FFFFFF" w:themeColor="background1"/>
          <w:sz w:val="40"/>
          <w:szCs w:val="40"/>
        </w:rPr>
        <w:t xml:space="preserve">2016/17 </w:t>
      </w:r>
      <w:r w:rsidR="00C801AA" w:rsidRPr="002E7C6A">
        <w:rPr>
          <w:rFonts w:cs="Arial"/>
          <w:b/>
          <w:color w:val="FFFFFF" w:themeColor="background1"/>
          <w:sz w:val="40"/>
          <w:szCs w:val="40"/>
        </w:rPr>
        <w:t>Part Time Undergraduate Funding</w:t>
      </w:r>
    </w:p>
    <w:p w:rsidR="003D1478" w:rsidRPr="003D1478" w:rsidRDefault="003D1478" w:rsidP="00635FA1">
      <w:pPr>
        <w:pStyle w:val="Default"/>
        <w:shd w:val="clear" w:color="auto" w:fill="0099CC"/>
        <w:jc w:val="both"/>
        <w:rPr>
          <w:rFonts w:ascii="Arial Black" w:hAnsi="Arial Black"/>
          <w:b/>
          <w:noProof/>
          <w:color w:val="F79646" w:themeColor="accent6"/>
          <w:sz w:val="16"/>
          <w:szCs w:val="16"/>
          <w:shd w:val="clear" w:color="auto" w:fill="D9D9D9" w:themeFill="background1" w:themeFillShade="D9"/>
          <w:lang w:eastAsia="en-GB"/>
        </w:rPr>
      </w:pPr>
    </w:p>
    <w:p w:rsidR="00C801AA" w:rsidRDefault="00C801AA" w:rsidP="00635FA1">
      <w:pPr>
        <w:spacing w:after="0" w:line="240" w:lineRule="auto"/>
        <w:jc w:val="both"/>
        <w:rPr>
          <w:b/>
          <w:sz w:val="28"/>
          <w:szCs w:val="28"/>
          <w:u w:val="single"/>
        </w:rPr>
      </w:pPr>
    </w:p>
    <w:p w:rsidR="002E7C6A" w:rsidRPr="00471626" w:rsidRDefault="002E7C6A" w:rsidP="00635FA1">
      <w:pPr>
        <w:spacing w:after="0" w:line="240" w:lineRule="auto"/>
        <w:jc w:val="both"/>
        <w:rPr>
          <w:b/>
        </w:rPr>
      </w:pPr>
      <w:r>
        <w:rPr>
          <w:b/>
        </w:rPr>
        <w:t>SCOTTISH/EU</w:t>
      </w:r>
    </w:p>
    <w:p w:rsidR="00471626" w:rsidRPr="00471626" w:rsidRDefault="00471626" w:rsidP="00635FA1">
      <w:pPr>
        <w:spacing w:after="0" w:line="240" w:lineRule="auto"/>
        <w:jc w:val="both"/>
      </w:pPr>
      <w:r>
        <w:t xml:space="preserve">Full details of SAAS Funding for part time study can be found on the SAAS website: </w:t>
      </w:r>
      <w:bookmarkStart w:id="0" w:name="_GoBack"/>
      <w:r w:rsidR="00A44F29">
        <w:fldChar w:fldCharType="begin"/>
      </w:r>
      <w:r w:rsidR="00A44F29">
        <w:instrText xml:space="preserve"> HYPERLINK "http://www.saas.gov.uk/part_time/ug/index.htm" </w:instrText>
      </w:r>
      <w:r w:rsidR="00A44F29">
        <w:fldChar w:fldCharType="separate"/>
      </w:r>
      <w:r w:rsidRPr="00471626">
        <w:rPr>
          <w:rStyle w:val="Hyperlink"/>
          <w:color w:val="0070C0"/>
        </w:rPr>
        <w:t>www.saas.gov.uk/part_time/ug/index.htm</w:t>
      </w:r>
      <w:r w:rsidR="00A44F29">
        <w:rPr>
          <w:rStyle w:val="Hyperlink"/>
          <w:color w:val="0070C0"/>
        </w:rPr>
        <w:fldChar w:fldCharType="end"/>
      </w:r>
      <w:r w:rsidRPr="00471626">
        <w:rPr>
          <w:color w:val="0070C0"/>
        </w:rPr>
        <w:t xml:space="preserve"> </w:t>
      </w:r>
      <w:bookmarkEnd w:id="0"/>
    </w:p>
    <w:p w:rsidR="00471626" w:rsidRDefault="00471626" w:rsidP="00635FA1">
      <w:pPr>
        <w:spacing w:after="0" w:line="240" w:lineRule="auto"/>
        <w:jc w:val="both"/>
        <w:rPr>
          <w:b/>
          <w:sz w:val="28"/>
          <w:szCs w:val="28"/>
          <w:u w:val="single"/>
        </w:rPr>
      </w:pPr>
    </w:p>
    <w:p w:rsidR="002E7C6A" w:rsidRPr="00471626" w:rsidRDefault="00471626" w:rsidP="00635FA1">
      <w:pPr>
        <w:spacing w:after="0" w:line="240" w:lineRule="auto"/>
        <w:jc w:val="both"/>
        <w:rPr>
          <w:b/>
        </w:rPr>
      </w:pPr>
      <w:r w:rsidRPr="00471626">
        <w:rPr>
          <w:b/>
        </w:rPr>
        <w:t>RUK</w:t>
      </w:r>
    </w:p>
    <w:p w:rsidR="00471626" w:rsidRPr="00471626" w:rsidRDefault="00471626" w:rsidP="00635FA1">
      <w:pPr>
        <w:spacing w:after="0" w:line="240" w:lineRule="auto"/>
        <w:jc w:val="both"/>
      </w:pPr>
      <w:r w:rsidRPr="00471626">
        <w:t>Part Time Funding for students from the Rest of the UK may vary. Please contact your funding provider directly for details.</w:t>
      </w:r>
    </w:p>
    <w:p w:rsidR="00471626" w:rsidRDefault="00471626" w:rsidP="00635FA1">
      <w:pPr>
        <w:spacing w:after="0" w:line="240" w:lineRule="auto"/>
        <w:jc w:val="both"/>
        <w:rPr>
          <w:b/>
          <w:sz w:val="28"/>
          <w:szCs w:val="28"/>
          <w:u w:val="single"/>
        </w:rPr>
      </w:pPr>
    </w:p>
    <w:p w:rsidR="00471626" w:rsidRPr="005E354B" w:rsidRDefault="00471626" w:rsidP="00635FA1">
      <w:pPr>
        <w:spacing w:after="0" w:line="240" w:lineRule="auto"/>
        <w:jc w:val="both"/>
        <w:rPr>
          <w:b/>
          <w:sz w:val="28"/>
          <w:szCs w:val="28"/>
          <w:u w:val="single"/>
        </w:rPr>
      </w:pPr>
    </w:p>
    <w:p w:rsidR="00C801AA" w:rsidRPr="00471626" w:rsidRDefault="00C801AA" w:rsidP="00635FA1">
      <w:pPr>
        <w:shd w:val="clear" w:color="auto" w:fill="0099CC"/>
        <w:spacing w:after="0" w:line="240" w:lineRule="auto"/>
        <w:jc w:val="both"/>
        <w:rPr>
          <w:b/>
          <w:color w:val="FFFFFF" w:themeColor="background1"/>
          <w:sz w:val="28"/>
          <w:szCs w:val="28"/>
        </w:rPr>
      </w:pPr>
      <w:r w:rsidRPr="00471626">
        <w:rPr>
          <w:b/>
          <w:color w:val="FFFFFF" w:themeColor="background1"/>
          <w:sz w:val="28"/>
          <w:szCs w:val="28"/>
        </w:rPr>
        <w:t xml:space="preserve">SAAS Part Time Fee Grants  </w:t>
      </w:r>
    </w:p>
    <w:p w:rsidR="00471626" w:rsidRPr="005E354B" w:rsidRDefault="00471626" w:rsidP="00635FA1">
      <w:pPr>
        <w:spacing w:after="0" w:line="240" w:lineRule="auto"/>
        <w:jc w:val="both"/>
        <w:rPr>
          <w:b/>
          <w:sz w:val="28"/>
          <w:szCs w:val="28"/>
          <w:u w:val="single"/>
        </w:rPr>
      </w:pPr>
    </w:p>
    <w:p w:rsidR="002E7C6A" w:rsidRPr="002E7C6A" w:rsidRDefault="002E7C6A" w:rsidP="00635FA1">
      <w:pPr>
        <w:spacing w:after="0" w:line="240" w:lineRule="auto"/>
        <w:jc w:val="both"/>
        <w:rPr>
          <w:b/>
        </w:rPr>
      </w:pPr>
      <w:r w:rsidRPr="002E7C6A">
        <w:rPr>
          <w:b/>
        </w:rPr>
        <w:t>TUITION FEES</w:t>
      </w:r>
    </w:p>
    <w:p w:rsidR="002E7C6A" w:rsidRDefault="002E7C6A" w:rsidP="00635FA1">
      <w:pPr>
        <w:spacing w:after="0" w:line="240" w:lineRule="auto"/>
        <w:jc w:val="both"/>
      </w:pPr>
    </w:p>
    <w:p w:rsidR="00C801AA" w:rsidRDefault="00C801AA" w:rsidP="00635FA1">
      <w:pPr>
        <w:spacing w:after="0" w:line="240" w:lineRule="auto"/>
        <w:jc w:val="both"/>
      </w:pPr>
      <w:r>
        <w:t>SAAS offer non repayable grants up to £1805 for tuition fees to part time students who meet the following criteria.</w:t>
      </w:r>
    </w:p>
    <w:p w:rsidR="00C801AA" w:rsidRPr="005E354B" w:rsidRDefault="00C801AA" w:rsidP="00635FA1">
      <w:pPr>
        <w:spacing w:after="0" w:line="240" w:lineRule="auto"/>
        <w:jc w:val="both"/>
      </w:pPr>
    </w:p>
    <w:p w:rsidR="00C801AA" w:rsidRDefault="00C801AA" w:rsidP="00635FA1">
      <w:pPr>
        <w:pStyle w:val="Default"/>
        <w:numPr>
          <w:ilvl w:val="0"/>
          <w:numId w:val="3"/>
        </w:numPr>
        <w:jc w:val="both"/>
        <w:rPr>
          <w:rFonts w:asciiTheme="minorHAnsi" w:hAnsiTheme="minorHAnsi"/>
          <w:color w:val="auto"/>
          <w:sz w:val="22"/>
          <w:szCs w:val="22"/>
        </w:rPr>
      </w:pPr>
      <w:r w:rsidRPr="0078084E">
        <w:rPr>
          <w:rFonts w:asciiTheme="minorHAnsi" w:hAnsiTheme="minorHAnsi"/>
          <w:b/>
          <w:color w:val="auto"/>
          <w:sz w:val="22"/>
          <w:szCs w:val="22"/>
        </w:rPr>
        <w:t xml:space="preserve">Income </w:t>
      </w:r>
      <w:r>
        <w:rPr>
          <w:rFonts w:asciiTheme="minorHAnsi" w:hAnsiTheme="minorHAnsi"/>
          <w:color w:val="auto"/>
          <w:sz w:val="22"/>
          <w:szCs w:val="22"/>
        </w:rPr>
        <w:t>– Individual income of less than £25,000 per year</w:t>
      </w:r>
    </w:p>
    <w:p w:rsidR="00C801AA" w:rsidRDefault="00C801AA" w:rsidP="00635FA1">
      <w:pPr>
        <w:pStyle w:val="Default"/>
        <w:numPr>
          <w:ilvl w:val="0"/>
          <w:numId w:val="3"/>
        </w:numPr>
        <w:jc w:val="both"/>
        <w:rPr>
          <w:rFonts w:asciiTheme="minorHAnsi" w:hAnsiTheme="minorHAnsi"/>
          <w:color w:val="auto"/>
          <w:sz w:val="22"/>
          <w:szCs w:val="22"/>
        </w:rPr>
      </w:pPr>
      <w:r w:rsidRPr="0078084E">
        <w:rPr>
          <w:rFonts w:asciiTheme="minorHAnsi" w:hAnsiTheme="minorHAnsi"/>
          <w:b/>
          <w:color w:val="auto"/>
          <w:sz w:val="22"/>
          <w:szCs w:val="22"/>
        </w:rPr>
        <w:t>Course</w:t>
      </w:r>
      <w:r>
        <w:rPr>
          <w:rFonts w:asciiTheme="minorHAnsi" w:hAnsiTheme="minorHAnsi"/>
          <w:color w:val="auto"/>
          <w:sz w:val="22"/>
          <w:szCs w:val="22"/>
        </w:rPr>
        <w:t xml:space="preserve"> – SCQF level  7-10 and 30-119 credits</w:t>
      </w:r>
    </w:p>
    <w:p w:rsidR="00C801AA" w:rsidRDefault="00C801AA" w:rsidP="00635FA1">
      <w:pPr>
        <w:pStyle w:val="Default"/>
        <w:numPr>
          <w:ilvl w:val="0"/>
          <w:numId w:val="3"/>
        </w:numPr>
        <w:jc w:val="both"/>
        <w:rPr>
          <w:rFonts w:asciiTheme="minorHAnsi" w:hAnsiTheme="minorHAnsi"/>
          <w:color w:val="auto"/>
          <w:sz w:val="22"/>
          <w:szCs w:val="22"/>
        </w:rPr>
      </w:pPr>
      <w:r w:rsidRPr="0078084E">
        <w:rPr>
          <w:rFonts w:asciiTheme="minorHAnsi" w:hAnsiTheme="minorHAnsi"/>
          <w:b/>
          <w:color w:val="auto"/>
          <w:sz w:val="22"/>
          <w:szCs w:val="22"/>
        </w:rPr>
        <w:t>Residency</w:t>
      </w:r>
      <w:r>
        <w:rPr>
          <w:rFonts w:asciiTheme="minorHAnsi" w:hAnsiTheme="minorHAnsi"/>
          <w:color w:val="auto"/>
          <w:sz w:val="22"/>
          <w:szCs w:val="22"/>
        </w:rPr>
        <w:t xml:space="preserve"> – Students must meet the normal SAAS residency criteria</w:t>
      </w:r>
    </w:p>
    <w:p w:rsidR="00C801AA" w:rsidRPr="005E354B" w:rsidRDefault="00C801AA" w:rsidP="00635FA1">
      <w:pPr>
        <w:pStyle w:val="Default"/>
        <w:jc w:val="both"/>
        <w:rPr>
          <w:rFonts w:asciiTheme="minorHAnsi" w:hAnsiTheme="minorHAnsi"/>
          <w:color w:val="auto"/>
          <w:sz w:val="22"/>
          <w:szCs w:val="22"/>
        </w:rPr>
      </w:pPr>
    </w:p>
    <w:p w:rsidR="00C801AA" w:rsidRPr="0078084E" w:rsidRDefault="00C801AA" w:rsidP="00635FA1">
      <w:pPr>
        <w:pStyle w:val="Default"/>
        <w:jc w:val="both"/>
        <w:rPr>
          <w:rFonts w:asciiTheme="minorHAnsi" w:hAnsiTheme="minorHAnsi"/>
          <w:color w:val="000000" w:themeColor="text1"/>
          <w:sz w:val="22"/>
          <w:szCs w:val="22"/>
        </w:rPr>
      </w:pPr>
      <w:r w:rsidRPr="0078084E">
        <w:rPr>
          <w:rFonts w:asciiTheme="minorHAnsi" w:hAnsiTheme="minorHAnsi"/>
          <w:color w:val="auto"/>
          <w:sz w:val="22"/>
          <w:szCs w:val="22"/>
        </w:rPr>
        <w:t>Residency eligibility criteria applies to all SAAS funding –full details can be found on the SAAS website at</w:t>
      </w:r>
      <w:r w:rsidRPr="0078084E">
        <w:rPr>
          <w:rFonts w:asciiTheme="minorHAnsi" w:hAnsiTheme="minorHAnsi"/>
          <w:b/>
          <w:color w:val="000000" w:themeColor="text1"/>
          <w:sz w:val="22"/>
          <w:szCs w:val="22"/>
        </w:rPr>
        <w:t xml:space="preserve"> </w:t>
      </w:r>
      <w:hyperlink r:id="rId7" w:history="1">
        <w:r w:rsidR="00471626" w:rsidRPr="00471626">
          <w:rPr>
            <w:rStyle w:val="Hyperlink"/>
            <w:rFonts w:asciiTheme="minorHAnsi" w:hAnsiTheme="minorHAnsi"/>
            <w:color w:val="0070C0"/>
            <w:sz w:val="22"/>
            <w:szCs w:val="22"/>
          </w:rPr>
          <w:t>https://www.saas.gov.uk/part_time/ug/index.htm</w:t>
        </w:r>
      </w:hyperlink>
      <w:r w:rsidRPr="00471626">
        <w:rPr>
          <w:rFonts w:asciiTheme="minorHAnsi" w:hAnsiTheme="minorHAnsi"/>
          <w:b/>
          <w:color w:val="0070C0"/>
          <w:sz w:val="22"/>
          <w:szCs w:val="22"/>
        </w:rPr>
        <w:t xml:space="preserve"> </w:t>
      </w:r>
      <w:r w:rsidRPr="00471626">
        <w:rPr>
          <w:rFonts w:asciiTheme="minorHAnsi" w:hAnsiTheme="minorHAnsi"/>
          <w:color w:val="0070C0"/>
          <w:sz w:val="22"/>
          <w:szCs w:val="22"/>
        </w:rPr>
        <w:t xml:space="preserve">  </w:t>
      </w:r>
    </w:p>
    <w:p w:rsidR="00C801AA" w:rsidRDefault="00C801AA" w:rsidP="00635FA1">
      <w:pPr>
        <w:pStyle w:val="Default"/>
        <w:jc w:val="both"/>
        <w:rPr>
          <w:rFonts w:asciiTheme="minorHAnsi" w:hAnsiTheme="minorHAnsi"/>
          <w:color w:val="auto"/>
          <w:sz w:val="22"/>
          <w:szCs w:val="22"/>
        </w:rPr>
      </w:pPr>
    </w:p>
    <w:p w:rsidR="00C801AA" w:rsidRDefault="00C801AA" w:rsidP="00635FA1">
      <w:pPr>
        <w:spacing w:after="0" w:line="240" w:lineRule="auto"/>
        <w:jc w:val="both"/>
        <w:rPr>
          <w:b/>
        </w:rPr>
      </w:pPr>
      <w:r>
        <w:rPr>
          <w:b/>
        </w:rPr>
        <w:t>(Nursing students are not eligible for the part time fee grant)</w:t>
      </w:r>
    </w:p>
    <w:p w:rsidR="00C801AA" w:rsidRDefault="00C801AA" w:rsidP="00635FA1">
      <w:pPr>
        <w:pStyle w:val="Default"/>
        <w:jc w:val="both"/>
        <w:rPr>
          <w:rFonts w:asciiTheme="minorHAnsi" w:hAnsiTheme="minorHAnsi"/>
          <w:color w:val="auto"/>
          <w:sz w:val="22"/>
          <w:szCs w:val="22"/>
        </w:rPr>
      </w:pPr>
    </w:p>
    <w:p w:rsidR="00C801AA" w:rsidRDefault="00C801AA" w:rsidP="00635FA1">
      <w:pPr>
        <w:pStyle w:val="Default"/>
        <w:jc w:val="both"/>
        <w:rPr>
          <w:rFonts w:asciiTheme="minorHAnsi" w:hAnsiTheme="minorHAnsi"/>
          <w:color w:val="auto"/>
          <w:sz w:val="22"/>
          <w:szCs w:val="22"/>
        </w:rPr>
      </w:pPr>
      <w:r>
        <w:rPr>
          <w:rFonts w:asciiTheme="minorHAnsi" w:hAnsiTheme="minorHAnsi"/>
          <w:color w:val="auto"/>
          <w:sz w:val="22"/>
          <w:szCs w:val="22"/>
        </w:rPr>
        <w:t>All Tuition Fee Grants are paid directly to the University.</w:t>
      </w:r>
    </w:p>
    <w:p w:rsidR="00C801AA" w:rsidRDefault="00C801AA" w:rsidP="00635FA1">
      <w:pPr>
        <w:pStyle w:val="Default"/>
        <w:jc w:val="both"/>
        <w:rPr>
          <w:rFonts w:asciiTheme="minorHAnsi" w:hAnsiTheme="minorHAnsi"/>
          <w:color w:val="auto"/>
          <w:sz w:val="22"/>
          <w:szCs w:val="22"/>
        </w:rPr>
      </w:pPr>
    </w:p>
    <w:p w:rsidR="002E7C6A" w:rsidRDefault="002E7C6A" w:rsidP="00635FA1">
      <w:pPr>
        <w:pStyle w:val="Default"/>
        <w:jc w:val="both"/>
        <w:rPr>
          <w:rFonts w:asciiTheme="minorHAnsi" w:hAnsiTheme="minorHAnsi"/>
          <w:color w:val="auto"/>
          <w:sz w:val="22"/>
          <w:szCs w:val="22"/>
        </w:rPr>
      </w:pPr>
      <w:r>
        <w:rPr>
          <w:rFonts w:asciiTheme="minorHAnsi" w:hAnsiTheme="minorHAnsi"/>
          <w:color w:val="auto"/>
          <w:sz w:val="22"/>
          <w:szCs w:val="22"/>
        </w:rPr>
        <w:t>If you haven’t received your award letter when you start your course you may still register as a SAAS Funded student and update the Finance Office when your application has been processed.</w:t>
      </w:r>
    </w:p>
    <w:p w:rsidR="002E7C6A" w:rsidRDefault="002E7C6A" w:rsidP="00635FA1">
      <w:pPr>
        <w:pStyle w:val="Default"/>
        <w:jc w:val="both"/>
        <w:rPr>
          <w:rFonts w:asciiTheme="minorHAnsi" w:hAnsiTheme="minorHAnsi"/>
          <w:color w:val="auto"/>
          <w:sz w:val="22"/>
          <w:szCs w:val="22"/>
        </w:rPr>
      </w:pPr>
    </w:p>
    <w:p w:rsidR="002E7C6A" w:rsidRDefault="002E7C6A" w:rsidP="00635FA1">
      <w:pPr>
        <w:pStyle w:val="Default"/>
        <w:jc w:val="both"/>
        <w:rPr>
          <w:rFonts w:asciiTheme="minorHAnsi" w:hAnsiTheme="minorHAnsi"/>
          <w:color w:val="auto"/>
          <w:sz w:val="22"/>
          <w:szCs w:val="22"/>
        </w:rPr>
      </w:pPr>
    </w:p>
    <w:p w:rsidR="002E7C6A" w:rsidRPr="002E7C6A" w:rsidRDefault="002E7C6A" w:rsidP="00635FA1">
      <w:pPr>
        <w:pStyle w:val="Default"/>
        <w:jc w:val="both"/>
        <w:rPr>
          <w:rFonts w:asciiTheme="minorHAnsi" w:hAnsiTheme="minorHAnsi"/>
          <w:b/>
          <w:color w:val="auto"/>
          <w:sz w:val="22"/>
          <w:szCs w:val="22"/>
        </w:rPr>
      </w:pPr>
      <w:r w:rsidRPr="002E7C6A">
        <w:rPr>
          <w:rFonts w:asciiTheme="minorHAnsi" w:hAnsiTheme="minorHAnsi"/>
          <w:b/>
          <w:color w:val="auto"/>
          <w:sz w:val="22"/>
          <w:szCs w:val="22"/>
        </w:rPr>
        <w:t>LIVING COSTS</w:t>
      </w:r>
    </w:p>
    <w:p w:rsidR="002E7C6A" w:rsidRDefault="002E7C6A" w:rsidP="00635FA1">
      <w:pPr>
        <w:pStyle w:val="Default"/>
        <w:jc w:val="both"/>
        <w:rPr>
          <w:rFonts w:asciiTheme="minorHAnsi" w:hAnsiTheme="minorHAnsi"/>
          <w:color w:val="auto"/>
          <w:sz w:val="22"/>
          <w:szCs w:val="22"/>
        </w:rPr>
      </w:pPr>
    </w:p>
    <w:p w:rsidR="00C801AA" w:rsidRPr="002E7C6A" w:rsidRDefault="00C801AA" w:rsidP="00635FA1">
      <w:pPr>
        <w:pStyle w:val="Default"/>
        <w:jc w:val="both"/>
        <w:rPr>
          <w:rFonts w:asciiTheme="minorHAnsi" w:hAnsiTheme="minorHAnsi"/>
          <w:color w:val="auto"/>
          <w:sz w:val="22"/>
          <w:szCs w:val="22"/>
        </w:rPr>
      </w:pPr>
      <w:r w:rsidRPr="002E7C6A">
        <w:rPr>
          <w:rFonts w:asciiTheme="minorHAnsi" w:hAnsiTheme="minorHAnsi"/>
          <w:color w:val="auto"/>
          <w:sz w:val="22"/>
          <w:szCs w:val="22"/>
        </w:rPr>
        <w:t>SAAS do not offer statutory living cost funding such as bursaries or loans for part time students.</w:t>
      </w:r>
    </w:p>
    <w:p w:rsidR="00C801AA" w:rsidRDefault="00C801AA" w:rsidP="00635FA1">
      <w:pPr>
        <w:spacing w:after="0" w:line="240" w:lineRule="auto"/>
        <w:jc w:val="both"/>
        <w:rPr>
          <w:b/>
        </w:rPr>
      </w:pPr>
    </w:p>
    <w:p w:rsidR="00471626" w:rsidRDefault="00471626" w:rsidP="00635FA1">
      <w:pPr>
        <w:spacing w:after="0" w:line="240" w:lineRule="auto"/>
        <w:jc w:val="both"/>
        <w:rPr>
          <w:b/>
          <w:sz w:val="28"/>
          <w:szCs w:val="28"/>
        </w:rPr>
      </w:pPr>
    </w:p>
    <w:p w:rsidR="002E7C6A" w:rsidRDefault="002E7C6A" w:rsidP="00635FA1">
      <w:pPr>
        <w:spacing w:after="0" w:line="240" w:lineRule="auto"/>
        <w:jc w:val="both"/>
        <w:rPr>
          <w:b/>
          <w:sz w:val="28"/>
          <w:szCs w:val="28"/>
        </w:rPr>
      </w:pPr>
    </w:p>
    <w:p w:rsidR="002E7C6A" w:rsidRDefault="002E7C6A" w:rsidP="00635FA1">
      <w:pPr>
        <w:spacing w:after="0" w:line="240" w:lineRule="auto"/>
        <w:jc w:val="both"/>
        <w:rPr>
          <w:b/>
          <w:sz w:val="28"/>
          <w:szCs w:val="28"/>
        </w:rPr>
      </w:pPr>
    </w:p>
    <w:p w:rsidR="002E7C6A" w:rsidRDefault="002E7C6A" w:rsidP="00635FA1">
      <w:pPr>
        <w:spacing w:after="0" w:line="240" w:lineRule="auto"/>
        <w:jc w:val="both"/>
        <w:rPr>
          <w:b/>
          <w:sz w:val="28"/>
          <w:szCs w:val="28"/>
        </w:rPr>
      </w:pPr>
    </w:p>
    <w:p w:rsidR="00C801AA" w:rsidRPr="00635FA1" w:rsidRDefault="00635FA1" w:rsidP="00635FA1">
      <w:pPr>
        <w:spacing w:after="0" w:line="240" w:lineRule="auto"/>
        <w:jc w:val="both"/>
        <w:rPr>
          <w:b/>
        </w:rPr>
      </w:pPr>
      <w:r w:rsidRPr="00635FA1">
        <w:rPr>
          <w:b/>
        </w:rPr>
        <w:lastRenderedPageBreak/>
        <w:t>APPLICATION PROCESS</w:t>
      </w:r>
    </w:p>
    <w:p w:rsidR="00635FA1" w:rsidRDefault="00635FA1" w:rsidP="00635FA1">
      <w:pPr>
        <w:spacing w:after="0" w:line="240" w:lineRule="auto"/>
        <w:jc w:val="both"/>
        <w:rPr>
          <w:b/>
        </w:rPr>
      </w:pPr>
    </w:p>
    <w:p w:rsidR="00C801AA" w:rsidRDefault="00C801AA" w:rsidP="00635FA1">
      <w:pPr>
        <w:spacing w:after="0" w:line="240" w:lineRule="auto"/>
        <w:jc w:val="both"/>
      </w:pPr>
      <w:r w:rsidRPr="00D508A4">
        <w:t xml:space="preserve">Applications must be printed from the SAAS website and completed </w:t>
      </w:r>
      <w:r>
        <w:t xml:space="preserve">carefully </w:t>
      </w:r>
      <w:r w:rsidRPr="00D508A4">
        <w:t>using the notes for guidance which advises on the evidence required to support the application.</w:t>
      </w:r>
    </w:p>
    <w:p w:rsidR="00C801AA" w:rsidRDefault="00C801AA" w:rsidP="00635FA1">
      <w:pPr>
        <w:spacing w:after="0" w:line="240" w:lineRule="auto"/>
        <w:jc w:val="both"/>
      </w:pPr>
    </w:p>
    <w:p w:rsidR="00C801AA" w:rsidRDefault="00C801AA" w:rsidP="00635FA1">
      <w:pPr>
        <w:spacing w:after="0" w:line="240" w:lineRule="auto"/>
        <w:jc w:val="both"/>
      </w:pPr>
      <w:r>
        <w:t xml:space="preserve">Once complete the original application must be submitted with </w:t>
      </w:r>
      <w:r w:rsidRPr="00D508A4">
        <w:rPr>
          <w:b/>
          <w:u w:val="single"/>
        </w:rPr>
        <w:t>photocopies</w:t>
      </w:r>
      <w:r>
        <w:t xml:space="preserve"> of the required evidence to the Advisory Team to be endorsed (address at end of this information sheet). The Advisory Team will send the application to SAAS by recorded delivery.</w:t>
      </w:r>
    </w:p>
    <w:p w:rsidR="00C801AA" w:rsidRDefault="00C801AA" w:rsidP="00635FA1">
      <w:pPr>
        <w:spacing w:after="0" w:line="240" w:lineRule="auto"/>
        <w:jc w:val="both"/>
      </w:pPr>
    </w:p>
    <w:p w:rsidR="00C801AA" w:rsidRDefault="00C801AA" w:rsidP="00635FA1">
      <w:pPr>
        <w:spacing w:after="0" w:line="240" w:lineRule="auto"/>
        <w:jc w:val="both"/>
        <w:rPr>
          <w:b/>
        </w:rPr>
      </w:pPr>
      <w:r>
        <w:rPr>
          <w:b/>
        </w:rPr>
        <w:t>Applications must reach SAAS no later than</w:t>
      </w:r>
      <w:r w:rsidRPr="00D508A4">
        <w:rPr>
          <w:b/>
        </w:rPr>
        <w:t xml:space="preserve"> 3 months </w:t>
      </w:r>
      <w:r>
        <w:rPr>
          <w:b/>
        </w:rPr>
        <w:t xml:space="preserve">after </w:t>
      </w:r>
      <w:r w:rsidRPr="00D508A4">
        <w:rPr>
          <w:b/>
        </w:rPr>
        <w:t>the start date of the course.</w:t>
      </w:r>
    </w:p>
    <w:p w:rsidR="00C801AA" w:rsidRPr="00D508A4" w:rsidRDefault="00C801AA" w:rsidP="00635FA1">
      <w:pPr>
        <w:spacing w:after="0" w:line="240" w:lineRule="auto"/>
        <w:jc w:val="both"/>
      </w:pPr>
    </w:p>
    <w:p w:rsidR="00C801AA" w:rsidRPr="005E354B" w:rsidRDefault="00C801AA" w:rsidP="00635FA1">
      <w:pPr>
        <w:spacing w:after="0" w:line="240" w:lineRule="auto"/>
        <w:jc w:val="both"/>
        <w:rPr>
          <w:b/>
        </w:rPr>
      </w:pPr>
    </w:p>
    <w:p w:rsidR="00C801AA" w:rsidRPr="00471626" w:rsidRDefault="00C801AA" w:rsidP="00635FA1">
      <w:pPr>
        <w:shd w:val="clear" w:color="auto" w:fill="0099CC"/>
        <w:spacing w:after="0" w:line="240" w:lineRule="auto"/>
        <w:jc w:val="both"/>
        <w:rPr>
          <w:b/>
          <w:color w:val="FFFFFF" w:themeColor="background1"/>
          <w:sz w:val="28"/>
          <w:szCs w:val="28"/>
        </w:rPr>
      </w:pPr>
      <w:r w:rsidRPr="00471626">
        <w:rPr>
          <w:b/>
          <w:color w:val="FFFFFF" w:themeColor="background1"/>
          <w:sz w:val="28"/>
          <w:szCs w:val="28"/>
        </w:rPr>
        <w:t xml:space="preserve">Alternative Funding - Trust Funds and Charities </w:t>
      </w:r>
    </w:p>
    <w:p w:rsidR="00C801AA" w:rsidRPr="005E354B" w:rsidRDefault="00C801AA" w:rsidP="00635FA1">
      <w:pPr>
        <w:spacing w:after="0" w:line="240" w:lineRule="auto"/>
        <w:jc w:val="both"/>
        <w:rPr>
          <w:b/>
          <w:u w:val="single"/>
        </w:rPr>
      </w:pPr>
    </w:p>
    <w:p w:rsidR="00C801AA" w:rsidRPr="005E354B" w:rsidRDefault="00C801AA" w:rsidP="00635FA1">
      <w:pPr>
        <w:spacing w:after="0" w:line="240" w:lineRule="auto"/>
        <w:jc w:val="both"/>
      </w:pPr>
      <w:r w:rsidRPr="005E354B">
        <w:t>There are many trusts and charities that offer non repayable support to students under various criteria. Identifying and applying for grants from alternative sources will take time but as the support is non-repayable it is a worthwhile avenue for consideration.</w:t>
      </w:r>
    </w:p>
    <w:p w:rsidR="00C801AA" w:rsidRPr="005E354B" w:rsidRDefault="00C801AA" w:rsidP="00635FA1">
      <w:pPr>
        <w:spacing w:after="0" w:line="240" w:lineRule="auto"/>
        <w:jc w:val="both"/>
      </w:pPr>
    </w:p>
    <w:p w:rsidR="00C801AA" w:rsidRDefault="00C801AA" w:rsidP="00635FA1">
      <w:pPr>
        <w:spacing w:after="0" w:line="240" w:lineRule="auto"/>
        <w:jc w:val="both"/>
      </w:pPr>
      <w:r w:rsidRPr="005E354B">
        <w:t>All funding opportunities the Advisory Service are involved in or made aware of are posted on the Advisory Facebook and Twitter pages.</w:t>
      </w:r>
    </w:p>
    <w:p w:rsidR="00C801AA" w:rsidRPr="00FA062A" w:rsidRDefault="00C801AA" w:rsidP="00635FA1">
      <w:pPr>
        <w:spacing w:after="0" w:line="240" w:lineRule="auto"/>
        <w:jc w:val="both"/>
      </w:pPr>
    </w:p>
    <w:p w:rsidR="00C801AA" w:rsidRPr="002E7C6A" w:rsidRDefault="00A44F29" w:rsidP="00635FA1">
      <w:pPr>
        <w:spacing w:after="0" w:line="240" w:lineRule="auto"/>
        <w:jc w:val="both"/>
        <w:rPr>
          <w:b/>
          <w:color w:val="0070C0"/>
        </w:rPr>
      </w:pPr>
      <w:hyperlink r:id="rId8" w:history="1">
        <w:r w:rsidR="002E7C6A" w:rsidRPr="002E7C6A">
          <w:rPr>
            <w:rStyle w:val="Hyperlink"/>
            <w:b/>
            <w:color w:val="0070C0"/>
          </w:rPr>
          <w:t>www.facebook.com/AbertayAdvisory</w:t>
        </w:r>
      </w:hyperlink>
      <w:r w:rsidR="002E7C6A" w:rsidRPr="002E7C6A">
        <w:rPr>
          <w:b/>
          <w:color w:val="0070C0"/>
        </w:rPr>
        <w:t xml:space="preserve"> </w:t>
      </w:r>
    </w:p>
    <w:p w:rsidR="00C801AA" w:rsidRPr="002E7C6A" w:rsidRDefault="00A44F29" w:rsidP="00635FA1">
      <w:pPr>
        <w:spacing w:after="0" w:line="240" w:lineRule="auto"/>
        <w:jc w:val="both"/>
        <w:rPr>
          <w:b/>
          <w:color w:val="0070C0"/>
        </w:rPr>
      </w:pPr>
      <w:hyperlink r:id="rId9" w:history="1">
        <w:r w:rsidR="002E7C6A" w:rsidRPr="002E7C6A">
          <w:rPr>
            <w:rStyle w:val="Hyperlink"/>
            <w:b/>
            <w:color w:val="0070C0"/>
          </w:rPr>
          <w:t>www.twitter.com/AbertayAdvisory</w:t>
        </w:r>
      </w:hyperlink>
      <w:r w:rsidR="002E7C6A" w:rsidRPr="002E7C6A">
        <w:rPr>
          <w:b/>
          <w:color w:val="0070C0"/>
        </w:rPr>
        <w:t xml:space="preserve"> </w:t>
      </w:r>
    </w:p>
    <w:p w:rsidR="00C801AA" w:rsidRPr="00996E2C" w:rsidRDefault="00C801AA" w:rsidP="00635FA1">
      <w:pPr>
        <w:spacing w:after="0" w:line="240" w:lineRule="auto"/>
        <w:jc w:val="both"/>
        <w:rPr>
          <w:b/>
        </w:rPr>
      </w:pPr>
    </w:p>
    <w:p w:rsidR="00C801AA" w:rsidRPr="00996E2C" w:rsidRDefault="00C801AA" w:rsidP="00635FA1">
      <w:pPr>
        <w:autoSpaceDE w:val="0"/>
        <w:autoSpaceDN w:val="0"/>
        <w:adjustRightInd w:val="0"/>
        <w:spacing w:after="0" w:line="240" w:lineRule="auto"/>
        <w:jc w:val="both"/>
        <w:rPr>
          <w:rFonts w:cs="Calibri"/>
        </w:rPr>
      </w:pPr>
      <w:r w:rsidRPr="00996E2C">
        <w:rPr>
          <w:rFonts w:cs="Calibri"/>
        </w:rPr>
        <w:t>Online searches for other alternative funding opportunities can be carried out using the websites below as a starting point:</w:t>
      </w:r>
    </w:p>
    <w:p w:rsidR="00C801AA" w:rsidRPr="00996E2C" w:rsidRDefault="00C801AA" w:rsidP="00635FA1">
      <w:pPr>
        <w:autoSpaceDE w:val="0"/>
        <w:autoSpaceDN w:val="0"/>
        <w:adjustRightInd w:val="0"/>
        <w:spacing w:after="0" w:line="240" w:lineRule="auto"/>
        <w:jc w:val="both"/>
        <w:rPr>
          <w:rFonts w:cs="Calibri"/>
        </w:rPr>
      </w:pPr>
    </w:p>
    <w:p w:rsidR="002E7C6A" w:rsidRPr="002E7C6A" w:rsidRDefault="00A44F29" w:rsidP="00635FA1">
      <w:pPr>
        <w:autoSpaceDE w:val="0"/>
        <w:autoSpaceDN w:val="0"/>
        <w:adjustRightInd w:val="0"/>
        <w:spacing w:after="0" w:line="240" w:lineRule="auto"/>
        <w:jc w:val="both"/>
        <w:rPr>
          <w:rFonts w:cs="Calibri"/>
          <w:color w:val="0070C0"/>
        </w:rPr>
      </w:pPr>
      <w:hyperlink r:id="rId10" w:history="1">
        <w:r w:rsidR="002E7C6A" w:rsidRPr="002E7C6A">
          <w:rPr>
            <w:rStyle w:val="Hyperlink"/>
            <w:rFonts w:cs="Calibri"/>
            <w:color w:val="0070C0"/>
          </w:rPr>
          <w:t>www.family-action.org.uk/section.aspx?id=21211</w:t>
        </w:r>
      </w:hyperlink>
      <w:r w:rsidR="002E7C6A" w:rsidRPr="002E7C6A">
        <w:rPr>
          <w:rFonts w:cs="Calibri"/>
          <w:color w:val="0070C0"/>
        </w:rPr>
        <w:t xml:space="preserve">   </w:t>
      </w:r>
    </w:p>
    <w:p w:rsidR="002E7C6A" w:rsidRPr="002E7C6A" w:rsidRDefault="00A44F29" w:rsidP="00635FA1">
      <w:pPr>
        <w:autoSpaceDE w:val="0"/>
        <w:autoSpaceDN w:val="0"/>
        <w:adjustRightInd w:val="0"/>
        <w:spacing w:after="0" w:line="240" w:lineRule="auto"/>
        <w:jc w:val="both"/>
        <w:rPr>
          <w:rFonts w:cs="Calibri"/>
          <w:color w:val="0070C0"/>
        </w:rPr>
      </w:pPr>
      <w:hyperlink r:id="rId11" w:history="1">
        <w:r w:rsidR="002E7C6A" w:rsidRPr="002E7C6A">
          <w:rPr>
            <w:rStyle w:val="Hyperlink"/>
            <w:rFonts w:cs="Calibri"/>
            <w:color w:val="0070C0"/>
          </w:rPr>
          <w:t>www.turn2us.org.uk/grants_search.aspx</w:t>
        </w:r>
      </w:hyperlink>
      <w:r w:rsidR="002E7C6A" w:rsidRPr="002E7C6A">
        <w:rPr>
          <w:rFonts w:cs="Calibri"/>
          <w:color w:val="0070C0"/>
        </w:rPr>
        <w:t xml:space="preserve">   </w:t>
      </w:r>
    </w:p>
    <w:p w:rsidR="002E7C6A" w:rsidRPr="002E7C6A" w:rsidRDefault="00A44F29" w:rsidP="00635FA1">
      <w:pPr>
        <w:autoSpaceDE w:val="0"/>
        <w:autoSpaceDN w:val="0"/>
        <w:adjustRightInd w:val="0"/>
        <w:spacing w:after="0" w:line="240" w:lineRule="auto"/>
        <w:jc w:val="both"/>
        <w:rPr>
          <w:rFonts w:cs="Calibri"/>
          <w:color w:val="0070C0"/>
        </w:rPr>
      </w:pPr>
      <w:hyperlink r:id="rId12" w:history="1">
        <w:r w:rsidR="002E7C6A" w:rsidRPr="002E7C6A">
          <w:rPr>
            <w:rStyle w:val="Hyperlink"/>
            <w:rFonts w:cs="Calibri"/>
            <w:color w:val="0070C0"/>
          </w:rPr>
          <w:t>www.scholarship-search.org.uk</w:t>
        </w:r>
      </w:hyperlink>
      <w:r w:rsidR="002E7C6A" w:rsidRPr="002E7C6A">
        <w:rPr>
          <w:rFonts w:cs="Calibri"/>
          <w:color w:val="0070C0"/>
        </w:rPr>
        <w:t xml:space="preserve">  </w:t>
      </w:r>
    </w:p>
    <w:p w:rsidR="002E7C6A" w:rsidRPr="002E7C6A" w:rsidRDefault="00A44F29" w:rsidP="00635FA1">
      <w:pPr>
        <w:autoSpaceDE w:val="0"/>
        <w:autoSpaceDN w:val="0"/>
        <w:adjustRightInd w:val="0"/>
        <w:spacing w:after="0" w:line="240" w:lineRule="auto"/>
        <w:jc w:val="both"/>
        <w:rPr>
          <w:rFonts w:cs="Calibri"/>
          <w:color w:val="0070C0"/>
        </w:rPr>
      </w:pPr>
      <w:hyperlink r:id="rId13" w:history="1">
        <w:r w:rsidR="002E7C6A" w:rsidRPr="002E7C6A">
          <w:rPr>
            <w:rStyle w:val="Hyperlink"/>
            <w:rFonts w:cs="Calibri"/>
            <w:color w:val="0070C0"/>
          </w:rPr>
          <w:t>www.unigrants.co.uk</w:t>
        </w:r>
      </w:hyperlink>
      <w:r w:rsidR="002E7C6A" w:rsidRPr="002E7C6A">
        <w:rPr>
          <w:rFonts w:cs="Calibri"/>
          <w:color w:val="0070C0"/>
        </w:rPr>
        <w:t xml:space="preserve">  </w:t>
      </w:r>
    </w:p>
    <w:p w:rsidR="002E7C6A" w:rsidRPr="002E7C6A" w:rsidRDefault="00A44F29" w:rsidP="00635FA1">
      <w:pPr>
        <w:autoSpaceDE w:val="0"/>
        <w:autoSpaceDN w:val="0"/>
        <w:adjustRightInd w:val="0"/>
        <w:spacing w:after="0" w:line="240" w:lineRule="auto"/>
        <w:jc w:val="both"/>
        <w:rPr>
          <w:rFonts w:cs="Calibri"/>
          <w:color w:val="0070C0"/>
        </w:rPr>
      </w:pPr>
      <w:hyperlink r:id="rId14" w:history="1">
        <w:r w:rsidR="002E7C6A" w:rsidRPr="002E7C6A">
          <w:rPr>
            <w:rStyle w:val="Hyperlink"/>
            <w:rFonts w:cs="Calibri"/>
            <w:color w:val="0070C0"/>
          </w:rPr>
          <w:t>www.postgraduatestudentships.co.uk/subject/all-subjects/pgt</w:t>
        </w:r>
      </w:hyperlink>
      <w:r w:rsidR="002E7C6A" w:rsidRPr="002E7C6A">
        <w:rPr>
          <w:rFonts w:cs="Calibri"/>
          <w:color w:val="0070C0"/>
        </w:rPr>
        <w:t xml:space="preserve">  </w:t>
      </w:r>
    </w:p>
    <w:p w:rsidR="002E7C6A" w:rsidRPr="002E7C6A" w:rsidRDefault="00A44F29" w:rsidP="00635FA1">
      <w:pPr>
        <w:spacing w:after="0" w:line="240" w:lineRule="auto"/>
        <w:jc w:val="both"/>
        <w:rPr>
          <w:rFonts w:cs="Calibri"/>
          <w:color w:val="0070C0"/>
        </w:rPr>
      </w:pPr>
      <w:hyperlink r:id="rId15" w:history="1">
        <w:r w:rsidR="002E7C6A" w:rsidRPr="002E7C6A">
          <w:rPr>
            <w:rStyle w:val="Hyperlink"/>
            <w:rFonts w:cs="Calibri"/>
            <w:color w:val="0070C0"/>
          </w:rPr>
          <w:t>www.saas.gov.uk/_forms/ree1.pdf</w:t>
        </w:r>
      </w:hyperlink>
      <w:r w:rsidR="002E7C6A" w:rsidRPr="002E7C6A">
        <w:rPr>
          <w:rFonts w:cs="Calibri"/>
          <w:color w:val="0070C0"/>
        </w:rPr>
        <w:t xml:space="preserve"> </w:t>
      </w:r>
    </w:p>
    <w:p w:rsidR="002E7C6A" w:rsidRPr="002E7C6A" w:rsidRDefault="00A44F29" w:rsidP="00635FA1">
      <w:pPr>
        <w:spacing w:after="0" w:line="240" w:lineRule="auto"/>
        <w:jc w:val="both"/>
        <w:rPr>
          <w:rFonts w:cs="Calibri"/>
          <w:color w:val="0070C0"/>
        </w:rPr>
      </w:pPr>
      <w:hyperlink r:id="rId16" w:history="1">
        <w:r w:rsidR="002E7C6A" w:rsidRPr="002E7C6A">
          <w:rPr>
            <w:rStyle w:val="Hyperlink"/>
            <w:rFonts w:cs="Calibri"/>
            <w:color w:val="0070C0"/>
          </w:rPr>
          <w:t>www.scotland.org/study-in-scotland/scholarships</w:t>
        </w:r>
      </w:hyperlink>
      <w:r w:rsidR="002E7C6A" w:rsidRPr="002E7C6A">
        <w:rPr>
          <w:rFonts w:cs="Calibri"/>
          <w:color w:val="0070C0"/>
        </w:rPr>
        <w:t xml:space="preserve"> </w:t>
      </w:r>
    </w:p>
    <w:p w:rsidR="002E7C6A" w:rsidRPr="002E7C6A" w:rsidRDefault="00A44F29" w:rsidP="00635FA1">
      <w:pPr>
        <w:spacing w:after="0" w:line="240" w:lineRule="auto"/>
        <w:jc w:val="both"/>
        <w:rPr>
          <w:rFonts w:cs="Calibri"/>
          <w:color w:val="0070C0"/>
        </w:rPr>
      </w:pPr>
      <w:hyperlink r:id="rId17" w:history="1">
        <w:r w:rsidR="002E7C6A" w:rsidRPr="002E7C6A">
          <w:rPr>
            <w:rStyle w:val="Hyperlink"/>
            <w:rFonts w:cs="Calibri"/>
            <w:color w:val="0070C0"/>
          </w:rPr>
          <w:t>www.britishcouncil.org/study-work-create/practicalities/funding-studies</w:t>
        </w:r>
      </w:hyperlink>
      <w:r w:rsidR="002E7C6A" w:rsidRPr="002E7C6A">
        <w:rPr>
          <w:rFonts w:cs="Calibri"/>
          <w:color w:val="0070C0"/>
        </w:rPr>
        <w:t xml:space="preserve"> </w:t>
      </w:r>
    </w:p>
    <w:p w:rsidR="002E7C6A" w:rsidRPr="002E7C6A" w:rsidRDefault="00A44F29" w:rsidP="00635FA1">
      <w:pPr>
        <w:spacing w:after="0" w:line="240" w:lineRule="auto"/>
        <w:jc w:val="both"/>
        <w:rPr>
          <w:rFonts w:cs="Calibri"/>
          <w:color w:val="0070C0"/>
        </w:rPr>
      </w:pPr>
      <w:hyperlink r:id="rId18" w:history="1">
        <w:r w:rsidR="002E7C6A" w:rsidRPr="002E7C6A">
          <w:rPr>
            <w:rStyle w:val="Hyperlink"/>
            <w:rFonts w:cs="Calibri"/>
            <w:color w:val="0070C0"/>
          </w:rPr>
          <w:t>www.educationuk.org/global/articles/scholarships-financial-support/</w:t>
        </w:r>
      </w:hyperlink>
      <w:r w:rsidR="002E7C6A" w:rsidRPr="002E7C6A">
        <w:rPr>
          <w:rFonts w:cs="Calibri"/>
          <w:color w:val="0070C0"/>
        </w:rPr>
        <w:t xml:space="preserve"> </w:t>
      </w:r>
    </w:p>
    <w:p w:rsidR="002E7C6A" w:rsidRPr="002E7C6A" w:rsidRDefault="00A44F29" w:rsidP="00635FA1">
      <w:pPr>
        <w:spacing w:after="0" w:line="240" w:lineRule="auto"/>
        <w:jc w:val="both"/>
        <w:rPr>
          <w:color w:val="0070C0"/>
        </w:rPr>
      </w:pPr>
      <w:hyperlink r:id="rId19" w:history="1">
        <w:r w:rsidR="002E7C6A" w:rsidRPr="002E7C6A">
          <w:rPr>
            <w:rStyle w:val="Hyperlink"/>
            <w:color w:val="0070C0"/>
          </w:rPr>
          <w:t>https://beta.prospects.ac.uk/postgraduate-study/funding-postgraduate-study</w:t>
        </w:r>
      </w:hyperlink>
      <w:r w:rsidR="002E7C6A" w:rsidRPr="002E7C6A">
        <w:rPr>
          <w:color w:val="0070C0"/>
        </w:rPr>
        <w:t xml:space="preserve"> </w:t>
      </w:r>
    </w:p>
    <w:p w:rsidR="002E7C6A" w:rsidRPr="002E7C6A" w:rsidRDefault="00A44F29" w:rsidP="00635FA1">
      <w:pPr>
        <w:spacing w:after="0" w:line="240" w:lineRule="auto"/>
        <w:jc w:val="both"/>
        <w:rPr>
          <w:color w:val="0070C0"/>
        </w:rPr>
      </w:pPr>
      <w:hyperlink r:id="rId20" w:history="1">
        <w:r w:rsidR="002E7C6A" w:rsidRPr="002E7C6A">
          <w:rPr>
            <w:rStyle w:val="Hyperlink"/>
            <w:color w:val="0070C0"/>
          </w:rPr>
          <w:t>www.grantsforindividuals.org.uk/default.aspx</w:t>
        </w:r>
      </w:hyperlink>
      <w:r w:rsidR="002E7C6A" w:rsidRPr="002E7C6A">
        <w:rPr>
          <w:color w:val="0070C0"/>
        </w:rPr>
        <w:t xml:space="preserve"> </w:t>
      </w:r>
    </w:p>
    <w:p w:rsidR="002E7C6A" w:rsidRPr="002E7C6A" w:rsidRDefault="00A44F29" w:rsidP="00635FA1">
      <w:pPr>
        <w:spacing w:after="0" w:line="240" w:lineRule="auto"/>
        <w:jc w:val="both"/>
        <w:rPr>
          <w:color w:val="0070C0"/>
        </w:rPr>
      </w:pPr>
      <w:hyperlink r:id="rId21" w:history="1">
        <w:r w:rsidR="002E7C6A" w:rsidRPr="002E7C6A">
          <w:rPr>
            <w:rStyle w:val="Hyperlink"/>
            <w:color w:val="0070C0"/>
          </w:rPr>
          <w:t>www.princes-trust.org.uk/help-for-young-people/who-else/employment/grants-funding</w:t>
        </w:r>
      </w:hyperlink>
      <w:r w:rsidR="002E7C6A" w:rsidRPr="002E7C6A">
        <w:rPr>
          <w:color w:val="0070C0"/>
        </w:rPr>
        <w:t xml:space="preserve"> </w:t>
      </w:r>
    </w:p>
    <w:p w:rsidR="002E7C6A" w:rsidRPr="002E7C6A" w:rsidRDefault="00A44F29" w:rsidP="00635FA1">
      <w:pPr>
        <w:spacing w:after="0" w:line="240" w:lineRule="auto"/>
        <w:jc w:val="both"/>
        <w:rPr>
          <w:color w:val="0070C0"/>
        </w:rPr>
      </w:pPr>
      <w:hyperlink r:id="rId22" w:history="1">
        <w:r w:rsidR="002E7C6A" w:rsidRPr="002E7C6A">
          <w:rPr>
            <w:rStyle w:val="Hyperlink"/>
            <w:color w:val="0070C0"/>
          </w:rPr>
          <w:t>www.findamasters.com/funding/postgraduate-masters-scholarships/</w:t>
        </w:r>
      </w:hyperlink>
      <w:r w:rsidR="002E7C6A" w:rsidRPr="002E7C6A">
        <w:rPr>
          <w:color w:val="0070C0"/>
        </w:rPr>
        <w:t xml:space="preserve"> </w:t>
      </w:r>
    </w:p>
    <w:p w:rsidR="002E7C6A" w:rsidRPr="002E7C6A" w:rsidRDefault="00A44F29" w:rsidP="00635FA1">
      <w:pPr>
        <w:spacing w:after="0" w:line="240" w:lineRule="auto"/>
        <w:jc w:val="both"/>
        <w:rPr>
          <w:color w:val="0070C0"/>
        </w:rPr>
      </w:pPr>
      <w:hyperlink r:id="rId23" w:history="1">
        <w:r w:rsidR="002E7C6A" w:rsidRPr="002E7C6A">
          <w:rPr>
            <w:rStyle w:val="Hyperlink"/>
            <w:color w:val="0070C0"/>
          </w:rPr>
          <w:t>www.esrc.ac.uk/funding/funding-opportunities/</w:t>
        </w:r>
      </w:hyperlink>
      <w:r w:rsidR="002E7C6A" w:rsidRPr="002E7C6A">
        <w:rPr>
          <w:color w:val="0070C0"/>
        </w:rPr>
        <w:t xml:space="preserve"> </w:t>
      </w:r>
    </w:p>
    <w:p w:rsidR="002E7C6A" w:rsidRPr="002E7C6A" w:rsidRDefault="00A44F29" w:rsidP="00635FA1">
      <w:pPr>
        <w:spacing w:after="0" w:line="240" w:lineRule="auto"/>
        <w:jc w:val="both"/>
        <w:rPr>
          <w:color w:val="0070C0"/>
        </w:rPr>
      </w:pPr>
      <w:hyperlink r:id="rId24" w:history="1">
        <w:r w:rsidR="002E7C6A" w:rsidRPr="002E7C6A">
          <w:rPr>
            <w:rStyle w:val="Hyperlink"/>
            <w:color w:val="0070C0"/>
          </w:rPr>
          <w:t>www.ahrc.ac.uk/funding/</w:t>
        </w:r>
      </w:hyperlink>
      <w:r w:rsidR="002E7C6A" w:rsidRPr="002E7C6A">
        <w:rPr>
          <w:color w:val="0070C0"/>
        </w:rPr>
        <w:t xml:space="preserve"> </w:t>
      </w:r>
    </w:p>
    <w:p w:rsidR="002E7C6A" w:rsidRPr="002E7C6A" w:rsidRDefault="00A44F29" w:rsidP="00635FA1">
      <w:pPr>
        <w:spacing w:after="0" w:line="240" w:lineRule="auto"/>
        <w:jc w:val="both"/>
        <w:rPr>
          <w:color w:val="0070C0"/>
        </w:rPr>
      </w:pPr>
      <w:hyperlink r:id="rId25" w:history="1">
        <w:r w:rsidR="002E7C6A" w:rsidRPr="002E7C6A">
          <w:rPr>
            <w:rStyle w:val="Hyperlink"/>
            <w:color w:val="0070C0"/>
          </w:rPr>
          <w:t>www.iefa.org/</w:t>
        </w:r>
      </w:hyperlink>
      <w:r w:rsidR="002E7C6A" w:rsidRPr="002E7C6A">
        <w:rPr>
          <w:color w:val="0070C0"/>
        </w:rPr>
        <w:t xml:space="preserve"> </w:t>
      </w:r>
    </w:p>
    <w:p w:rsidR="002E7C6A" w:rsidRPr="002E7C6A" w:rsidRDefault="00A44F29" w:rsidP="00635FA1">
      <w:pPr>
        <w:spacing w:after="0" w:line="240" w:lineRule="auto"/>
        <w:jc w:val="both"/>
        <w:rPr>
          <w:color w:val="0070C0"/>
        </w:rPr>
      </w:pPr>
      <w:hyperlink r:id="rId26" w:history="1">
        <w:r w:rsidR="002E7C6A" w:rsidRPr="002E7C6A">
          <w:rPr>
            <w:rStyle w:val="Hyperlink"/>
            <w:color w:val="0070C0"/>
          </w:rPr>
          <w:t>www.dsc.org.uk/publication/the-directory-of-grant-making-trusts-201617/</w:t>
        </w:r>
      </w:hyperlink>
      <w:r w:rsidR="002E7C6A" w:rsidRPr="002E7C6A">
        <w:rPr>
          <w:color w:val="0070C0"/>
        </w:rPr>
        <w:t xml:space="preserve"> </w:t>
      </w:r>
    </w:p>
    <w:p w:rsidR="002E7C6A" w:rsidRPr="002E7C6A" w:rsidRDefault="00A44F29" w:rsidP="00635FA1">
      <w:pPr>
        <w:spacing w:after="0" w:line="240" w:lineRule="auto"/>
        <w:jc w:val="both"/>
        <w:rPr>
          <w:color w:val="0070C0"/>
        </w:rPr>
      </w:pPr>
      <w:hyperlink r:id="rId27" w:history="1">
        <w:r w:rsidR="002E7C6A" w:rsidRPr="002E7C6A">
          <w:rPr>
            <w:rStyle w:val="Hyperlink"/>
            <w:color w:val="0070C0"/>
          </w:rPr>
          <w:t>www.trustfunding.org.uk/search.aspx</w:t>
        </w:r>
      </w:hyperlink>
      <w:r w:rsidR="002E7C6A" w:rsidRPr="002E7C6A">
        <w:rPr>
          <w:color w:val="0070C0"/>
        </w:rPr>
        <w:t xml:space="preserve"> </w:t>
      </w:r>
    </w:p>
    <w:p w:rsidR="00C801AA" w:rsidRDefault="00C801AA" w:rsidP="00635FA1">
      <w:pPr>
        <w:spacing w:after="0" w:line="240" w:lineRule="auto"/>
        <w:jc w:val="both"/>
      </w:pPr>
    </w:p>
    <w:p w:rsidR="00635FA1" w:rsidRPr="00996E2C" w:rsidRDefault="00635FA1" w:rsidP="00635FA1">
      <w:pPr>
        <w:spacing w:after="0" w:line="240" w:lineRule="auto"/>
        <w:jc w:val="both"/>
      </w:pPr>
    </w:p>
    <w:p w:rsidR="00C801AA" w:rsidRPr="00996E2C" w:rsidRDefault="00C801AA" w:rsidP="00635FA1">
      <w:pPr>
        <w:spacing w:after="0" w:line="240" w:lineRule="auto"/>
        <w:jc w:val="both"/>
      </w:pPr>
      <w:r w:rsidRPr="00996E2C">
        <w:t>Below are some specific grants to consider looking into:</w:t>
      </w:r>
    </w:p>
    <w:p w:rsidR="00C801AA" w:rsidRPr="00996E2C" w:rsidRDefault="00C801AA" w:rsidP="00635FA1">
      <w:pPr>
        <w:spacing w:after="0" w:line="240" w:lineRule="auto"/>
        <w:jc w:val="both"/>
      </w:pPr>
    </w:p>
    <w:p w:rsidR="00C801AA" w:rsidRPr="00996E2C" w:rsidRDefault="00C801AA" w:rsidP="00635FA1">
      <w:pPr>
        <w:pStyle w:val="ListParagraph"/>
        <w:numPr>
          <w:ilvl w:val="0"/>
          <w:numId w:val="2"/>
        </w:numPr>
        <w:spacing w:after="0" w:line="240" w:lineRule="auto"/>
        <w:jc w:val="both"/>
        <w:rPr>
          <w:rStyle w:val="Strong"/>
          <w:b w:val="0"/>
          <w:bCs w:val="0"/>
          <w:sz w:val="20"/>
          <w:szCs w:val="20"/>
        </w:rPr>
      </w:pPr>
      <w:r w:rsidRPr="00996E2C">
        <w:rPr>
          <w:sz w:val="20"/>
          <w:szCs w:val="20"/>
        </w:rPr>
        <w:t>Scottish International Educational Trust</w:t>
      </w:r>
    </w:p>
    <w:p w:rsidR="00C801AA" w:rsidRPr="002E7C6A" w:rsidRDefault="00C801AA" w:rsidP="00635FA1">
      <w:pPr>
        <w:pStyle w:val="ListParagraph"/>
        <w:numPr>
          <w:ilvl w:val="0"/>
          <w:numId w:val="2"/>
        </w:numPr>
        <w:spacing w:after="0" w:line="240" w:lineRule="auto"/>
        <w:jc w:val="both"/>
        <w:rPr>
          <w:rStyle w:val="Strong"/>
          <w:b w:val="0"/>
          <w:bCs w:val="0"/>
          <w:sz w:val="20"/>
          <w:szCs w:val="20"/>
        </w:rPr>
      </w:pPr>
      <w:r w:rsidRPr="002E7C6A">
        <w:rPr>
          <w:rStyle w:val="Strong"/>
          <w:rFonts w:cs="Arial"/>
          <w:b w:val="0"/>
          <w:sz w:val="20"/>
          <w:szCs w:val="20"/>
        </w:rPr>
        <w:t>City of Dundee Educational Trust</w:t>
      </w:r>
    </w:p>
    <w:p w:rsidR="00C801AA" w:rsidRPr="002E7C6A" w:rsidRDefault="00C801AA" w:rsidP="00635FA1">
      <w:pPr>
        <w:pStyle w:val="ListParagraph"/>
        <w:numPr>
          <w:ilvl w:val="0"/>
          <w:numId w:val="2"/>
        </w:numPr>
        <w:spacing w:after="0" w:line="240" w:lineRule="auto"/>
        <w:jc w:val="both"/>
        <w:rPr>
          <w:rStyle w:val="Strong"/>
          <w:b w:val="0"/>
          <w:bCs w:val="0"/>
          <w:sz w:val="20"/>
          <w:szCs w:val="20"/>
        </w:rPr>
      </w:pPr>
      <w:r w:rsidRPr="002E7C6A">
        <w:rPr>
          <w:rStyle w:val="Strong"/>
          <w:rFonts w:cs="Arial"/>
          <w:b w:val="0"/>
          <w:sz w:val="20"/>
          <w:szCs w:val="20"/>
        </w:rPr>
        <w:lastRenderedPageBreak/>
        <w:t>Angus Educational Trust</w:t>
      </w:r>
    </w:p>
    <w:p w:rsidR="00C801AA" w:rsidRPr="002E7C6A" w:rsidRDefault="00C801AA" w:rsidP="00635FA1">
      <w:pPr>
        <w:pStyle w:val="ListParagraph"/>
        <w:numPr>
          <w:ilvl w:val="0"/>
          <w:numId w:val="2"/>
        </w:numPr>
        <w:spacing w:after="0" w:line="240" w:lineRule="auto"/>
        <w:jc w:val="both"/>
        <w:rPr>
          <w:rStyle w:val="Strong"/>
          <w:b w:val="0"/>
          <w:bCs w:val="0"/>
          <w:sz w:val="20"/>
          <w:szCs w:val="20"/>
        </w:rPr>
      </w:pPr>
      <w:r w:rsidRPr="002E7C6A">
        <w:rPr>
          <w:rStyle w:val="Strong"/>
          <w:rFonts w:cs="Arial"/>
          <w:b w:val="0"/>
          <w:sz w:val="20"/>
          <w:szCs w:val="20"/>
        </w:rPr>
        <w:t>Perth and Kinross Educational Trust</w:t>
      </w:r>
    </w:p>
    <w:p w:rsidR="00C801AA" w:rsidRPr="00996E2C" w:rsidRDefault="00C801AA" w:rsidP="00635FA1">
      <w:pPr>
        <w:pStyle w:val="ListParagraph"/>
        <w:numPr>
          <w:ilvl w:val="0"/>
          <w:numId w:val="2"/>
        </w:numPr>
        <w:spacing w:after="0" w:line="240" w:lineRule="auto"/>
        <w:jc w:val="both"/>
        <w:rPr>
          <w:sz w:val="20"/>
          <w:szCs w:val="20"/>
        </w:rPr>
      </w:pPr>
      <w:r w:rsidRPr="00996E2C">
        <w:rPr>
          <w:sz w:val="20"/>
          <w:szCs w:val="20"/>
        </w:rPr>
        <w:t>Fife Educational Trust</w:t>
      </w:r>
    </w:p>
    <w:p w:rsidR="00C801AA" w:rsidRPr="00996E2C" w:rsidRDefault="00C801AA" w:rsidP="00635FA1">
      <w:pPr>
        <w:pStyle w:val="ListParagraph"/>
        <w:numPr>
          <w:ilvl w:val="0"/>
          <w:numId w:val="2"/>
        </w:numPr>
        <w:spacing w:after="0" w:line="240" w:lineRule="auto"/>
        <w:jc w:val="both"/>
        <w:rPr>
          <w:sz w:val="20"/>
          <w:szCs w:val="20"/>
        </w:rPr>
      </w:pPr>
      <w:r w:rsidRPr="00996E2C">
        <w:rPr>
          <w:sz w:val="20"/>
          <w:szCs w:val="20"/>
        </w:rPr>
        <w:t>East Lothian Educational Trust</w:t>
      </w:r>
    </w:p>
    <w:p w:rsidR="00C801AA" w:rsidRPr="00996E2C" w:rsidRDefault="00C801AA" w:rsidP="00635FA1">
      <w:pPr>
        <w:pStyle w:val="ListParagraph"/>
        <w:numPr>
          <w:ilvl w:val="0"/>
          <w:numId w:val="2"/>
        </w:numPr>
        <w:spacing w:after="0" w:line="240" w:lineRule="auto"/>
        <w:jc w:val="both"/>
        <w:rPr>
          <w:sz w:val="20"/>
          <w:szCs w:val="20"/>
        </w:rPr>
      </w:pPr>
      <w:r w:rsidRPr="00996E2C">
        <w:rPr>
          <w:rFonts w:cs="Arial"/>
          <w:sz w:val="20"/>
          <w:szCs w:val="20"/>
        </w:rPr>
        <w:t>West Lothian Educational Trust</w:t>
      </w:r>
    </w:p>
    <w:p w:rsidR="00C801AA" w:rsidRPr="00996E2C" w:rsidRDefault="00C801AA" w:rsidP="00635FA1">
      <w:pPr>
        <w:pStyle w:val="ListParagraph"/>
        <w:numPr>
          <w:ilvl w:val="0"/>
          <w:numId w:val="2"/>
        </w:numPr>
        <w:spacing w:after="0" w:line="240" w:lineRule="auto"/>
        <w:jc w:val="both"/>
        <w:rPr>
          <w:sz w:val="20"/>
          <w:szCs w:val="20"/>
        </w:rPr>
      </w:pPr>
      <w:r w:rsidRPr="00996E2C">
        <w:rPr>
          <w:rFonts w:cs="Arial"/>
          <w:sz w:val="20"/>
          <w:szCs w:val="20"/>
          <w:lang w:val="en"/>
        </w:rPr>
        <w:t>The Highlands &amp; Islands Educational Trust Scheme</w:t>
      </w:r>
    </w:p>
    <w:p w:rsidR="00C801AA" w:rsidRPr="00996E2C" w:rsidRDefault="00C801AA" w:rsidP="00635FA1">
      <w:pPr>
        <w:pStyle w:val="ListParagraph"/>
        <w:numPr>
          <w:ilvl w:val="0"/>
          <w:numId w:val="2"/>
        </w:numPr>
        <w:spacing w:after="0" w:line="240" w:lineRule="auto"/>
        <w:jc w:val="both"/>
        <w:rPr>
          <w:sz w:val="20"/>
          <w:szCs w:val="20"/>
        </w:rPr>
      </w:pPr>
      <w:r w:rsidRPr="00996E2C">
        <w:rPr>
          <w:sz w:val="20"/>
          <w:szCs w:val="20"/>
        </w:rPr>
        <w:t xml:space="preserve">Hilda Martindale Educational Trust </w:t>
      </w:r>
    </w:p>
    <w:p w:rsidR="00C801AA" w:rsidRPr="00996E2C" w:rsidRDefault="00C801AA" w:rsidP="00635FA1">
      <w:pPr>
        <w:pStyle w:val="ListParagraph"/>
        <w:numPr>
          <w:ilvl w:val="0"/>
          <w:numId w:val="2"/>
        </w:numPr>
        <w:spacing w:after="0" w:line="240" w:lineRule="auto"/>
        <w:jc w:val="both"/>
        <w:rPr>
          <w:sz w:val="20"/>
          <w:szCs w:val="20"/>
        </w:rPr>
      </w:pPr>
      <w:r w:rsidRPr="00996E2C">
        <w:rPr>
          <w:sz w:val="20"/>
          <w:szCs w:val="20"/>
        </w:rPr>
        <w:t>All Saints Educational Trust</w:t>
      </w:r>
    </w:p>
    <w:p w:rsidR="00C801AA" w:rsidRPr="00996E2C" w:rsidRDefault="00C801AA" w:rsidP="00635FA1">
      <w:pPr>
        <w:pStyle w:val="ListParagraph"/>
        <w:numPr>
          <w:ilvl w:val="0"/>
          <w:numId w:val="2"/>
        </w:numPr>
        <w:spacing w:after="0" w:line="240" w:lineRule="auto"/>
        <w:jc w:val="both"/>
        <w:rPr>
          <w:sz w:val="20"/>
          <w:szCs w:val="20"/>
        </w:rPr>
      </w:pPr>
      <w:r w:rsidRPr="00996E2C">
        <w:rPr>
          <w:sz w:val="20"/>
          <w:szCs w:val="20"/>
        </w:rPr>
        <w:t>The Anglo-Jewish Association</w:t>
      </w:r>
    </w:p>
    <w:p w:rsidR="00C801AA" w:rsidRPr="00996E2C" w:rsidRDefault="00C801AA" w:rsidP="00635FA1">
      <w:pPr>
        <w:pStyle w:val="ListParagraph"/>
        <w:numPr>
          <w:ilvl w:val="0"/>
          <w:numId w:val="2"/>
        </w:numPr>
        <w:spacing w:after="0" w:line="240" w:lineRule="auto"/>
        <w:jc w:val="both"/>
        <w:rPr>
          <w:sz w:val="20"/>
          <w:szCs w:val="20"/>
        </w:rPr>
      </w:pPr>
      <w:r w:rsidRPr="00996E2C">
        <w:rPr>
          <w:sz w:val="20"/>
          <w:szCs w:val="20"/>
          <w:lang w:val="en"/>
        </w:rPr>
        <w:t>Google Europe Scholarship for Students with Disabilities</w:t>
      </w:r>
    </w:p>
    <w:p w:rsidR="00C801AA" w:rsidRPr="00996E2C" w:rsidRDefault="00C801AA" w:rsidP="00635FA1">
      <w:pPr>
        <w:pStyle w:val="ListParagraph"/>
        <w:numPr>
          <w:ilvl w:val="0"/>
          <w:numId w:val="2"/>
        </w:numPr>
        <w:spacing w:after="0" w:line="240" w:lineRule="auto"/>
        <w:jc w:val="both"/>
        <w:rPr>
          <w:sz w:val="20"/>
          <w:szCs w:val="20"/>
        </w:rPr>
      </w:pPr>
      <w:r w:rsidRPr="00996E2C">
        <w:rPr>
          <w:sz w:val="20"/>
          <w:szCs w:val="20"/>
          <w:lang w:val="en"/>
        </w:rPr>
        <w:t>The Sidney Perry Foundation</w:t>
      </w:r>
    </w:p>
    <w:p w:rsidR="00C801AA" w:rsidRDefault="00C801AA" w:rsidP="00635FA1">
      <w:pPr>
        <w:spacing w:after="0" w:line="240" w:lineRule="auto"/>
        <w:jc w:val="both"/>
      </w:pPr>
    </w:p>
    <w:p w:rsidR="002E7C6A" w:rsidRDefault="002E7C6A" w:rsidP="00635FA1">
      <w:pPr>
        <w:spacing w:after="0" w:line="240" w:lineRule="auto"/>
        <w:jc w:val="both"/>
      </w:pPr>
    </w:p>
    <w:p w:rsidR="002E7C6A" w:rsidRPr="005E354B" w:rsidRDefault="002E7C6A" w:rsidP="00635FA1">
      <w:pPr>
        <w:spacing w:after="0" w:line="240" w:lineRule="auto"/>
        <w:jc w:val="both"/>
      </w:pPr>
    </w:p>
    <w:p w:rsidR="00C801AA" w:rsidRPr="00471626" w:rsidRDefault="00C801AA" w:rsidP="00635FA1">
      <w:pPr>
        <w:shd w:val="clear" w:color="auto" w:fill="0099CC"/>
        <w:spacing w:after="0" w:line="240" w:lineRule="auto"/>
        <w:jc w:val="both"/>
        <w:rPr>
          <w:b/>
          <w:color w:val="FFFFFF" w:themeColor="background1"/>
          <w:sz w:val="28"/>
          <w:szCs w:val="28"/>
        </w:rPr>
      </w:pPr>
      <w:r w:rsidRPr="00471626">
        <w:rPr>
          <w:b/>
          <w:color w:val="FFFFFF" w:themeColor="background1"/>
          <w:sz w:val="28"/>
          <w:szCs w:val="28"/>
        </w:rPr>
        <w:t>Discretionary Funds</w:t>
      </w:r>
    </w:p>
    <w:p w:rsidR="00C801AA" w:rsidRPr="005E354B" w:rsidRDefault="00C801AA" w:rsidP="00635FA1">
      <w:pPr>
        <w:spacing w:after="0" w:line="240" w:lineRule="auto"/>
        <w:jc w:val="both"/>
      </w:pPr>
    </w:p>
    <w:p w:rsidR="00C801AA" w:rsidRPr="005E354B" w:rsidRDefault="00C801AA" w:rsidP="00635FA1">
      <w:pPr>
        <w:spacing w:after="0" w:line="240" w:lineRule="auto"/>
        <w:jc w:val="both"/>
      </w:pPr>
      <w:r w:rsidRPr="005E354B">
        <w:t>As part of the financial support package available to students, SAAS provide additional funding for UK students who are experiencing hardship. UK students are defined as those who meet the student support residency criteria as outlined by SAAS, Student Finance Engl</w:t>
      </w:r>
      <w:r>
        <w:t>and, Wales and Northern Ireland with the exception of Nursing Students.</w:t>
      </w:r>
    </w:p>
    <w:p w:rsidR="00C801AA" w:rsidRPr="005E354B" w:rsidRDefault="00C801AA" w:rsidP="00635FA1">
      <w:pPr>
        <w:spacing w:after="0" w:line="240" w:lineRule="auto"/>
        <w:jc w:val="both"/>
      </w:pPr>
    </w:p>
    <w:p w:rsidR="00C801AA" w:rsidRPr="005E354B" w:rsidRDefault="00C801AA" w:rsidP="00635FA1">
      <w:pPr>
        <w:spacing w:after="0" w:line="240" w:lineRule="auto"/>
        <w:jc w:val="both"/>
      </w:pPr>
      <w:r w:rsidRPr="005E354B">
        <w:t>Funds are administered by the University on a discretionary basis and applications are lightly means tested. Awards made will not provide full living cost support and cannot be made to meet the cost of tuition fees.</w:t>
      </w:r>
    </w:p>
    <w:p w:rsidR="00C801AA" w:rsidRDefault="00C801AA" w:rsidP="00635FA1">
      <w:pPr>
        <w:spacing w:after="0" w:line="240" w:lineRule="auto"/>
        <w:jc w:val="both"/>
      </w:pPr>
    </w:p>
    <w:p w:rsidR="00C801AA" w:rsidRPr="00957233" w:rsidRDefault="00C801AA" w:rsidP="00635FA1">
      <w:pPr>
        <w:spacing w:after="0" w:line="240" w:lineRule="auto"/>
        <w:jc w:val="both"/>
        <w:rPr>
          <w:b/>
        </w:rPr>
      </w:pPr>
      <w:r w:rsidRPr="00957233">
        <w:rPr>
          <w:b/>
        </w:rPr>
        <w:t>International and Nursing Students</w:t>
      </w:r>
    </w:p>
    <w:p w:rsidR="00C801AA" w:rsidRPr="005E354B" w:rsidRDefault="00C801AA" w:rsidP="00635FA1">
      <w:pPr>
        <w:spacing w:after="0" w:line="240" w:lineRule="auto"/>
        <w:jc w:val="both"/>
      </w:pPr>
    </w:p>
    <w:p w:rsidR="00C801AA" w:rsidRPr="005E354B" w:rsidRDefault="00C801AA" w:rsidP="00635FA1">
      <w:pPr>
        <w:spacing w:after="0" w:line="240" w:lineRule="auto"/>
        <w:jc w:val="both"/>
      </w:pPr>
      <w:r w:rsidRPr="005E354B">
        <w:t xml:space="preserve">The University have set up their own Discretionary Fund </w:t>
      </w:r>
      <w:r>
        <w:t xml:space="preserve">in order to offer support to EU, </w:t>
      </w:r>
      <w:r w:rsidRPr="005E354B">
        <w:t xml:space="preserve">Overseas </w:t>
      </w:r>
      <w:r>
        <w:t xml:space="preserve">and Nursing </w:t>
      </w:r>
      <w:r w:rsidRPr="005E354B">
        <w:t>students experiencing hardship during their course. These funds are limited and are reserve</w:t>
      </w:r>
      <w:r>
        <w:t>d for exceptional circumstances to ensure that students have food and shelter.</w:t>
      </w:r>
    </w:p>
    <w:p w:rsidR="00C801AA" w:rsidRPr="005E354B" w:rsidRDefault="00C801AA" w:rsidP="00635FA1">
      <w:pPr>
        <w:spacing w:after="0" w:line="240" w:lineRule="auto"/>
        <w:jc w:val="both"/>
      </w:pPr>
    </w:p>
    <w:p w:rsidR="00C801AA" w:rsidRPr="005E354B" w:rsidRDefault="00C801AA" w:rsidP="00635FA1">
      <w:pPr>
        <w:spacing w:after="0" w:line="240" w:lineRule="auto"/>
        <w:jc w:val="both"/>
      </w:pPr>
    </w:p>
    <w:p w:rsidR="00C801AA" w:rsidRDefault="00C801AA" w:rsidP="00635FA1">
      <w:pPr>
        <w:spacing w:after="0" w:line="240" w:lineRule="auto"/>
        <w:jc w:val="both"/>
      </w:pPr>
    </w:p>
    <w:p w:rsidR="00C801AA" w:rsidRPr="00471626" w:rsidRDefault="00C801AA" w:rsidP="00635FA1">
      <w:pPr>
        <w:shd w:val="clear" w:color="auto" w:fill="0099CC"/>
        <w:spacing w:after="0" w:line="240" w:lineRule="auto"/>
        <w:jc w:val="both"/>
        <w:rPr>
          <w:b/>
          <w:color w:val="FFFFFF" w:themeColor="background1"/>
          <w:sz w:val="28"/>
          <w:szCs w:val="28"/>
        </w:rPr>
      </w:pPr>
      <w:r w:rsidRPr="00471626">
        <w:rPr>
          <w:b/>
          <w:color w:val="FFFFFF" w:themeColor="background1"/>
          <w:sz w:val="28"/>
          <w:szCs w:val="28"/>
        </w:rPr>
        <w:t>Childcare Costs</w:t>
      </w:r>
    </w:p>
    <w:p w:rsidR="00C801AA" w:rsidRPr="005E354B" w:rsidRDefault="00C801AA" w:rsidP="00635FA1">
      <w:pPr>
        <w:spacing w:after="0" w:line="240" w:lineRule="auto"/>
        <w:jc w:val="both"/>
      </w:pPr>
    </w:p>
    <w:p w:rsidR="00C801AA" w:rsidRPr="005E354B" w:rsidRDefault="00C801AA" w:rsidP="00635FA1">
      <w:pPr>
        <w:spacing w:after="0" w:line="240" w:lineRule="auto"/>
        <w:jc w:val="both"/>
      </w:pPr>
      <w:r>
        <w:t>Within</w:t>
      </w:r>
      <w:r w:rsidRPr="005E354B">
        <w:t xml:space="preserve"> the </w:t>
      </w:r>
      <w:r>
        <w:t xml:space="preserve">SAAS </w:t>
      </w:r>
      <w:r w:rsidRPr="005E354B">
        <w:t>Discr</w:t>
      </w:r>
      <w:r>
        <w:t>etionary Fund the University is able to offer support with c</w:t>
      </w:r>
      <w:r w:rsidRPr="005E354B">
        <w:t xml:space="preserve">hildcare </w:t>
      </w:r>
      <w:r>
        <w:t xml:space="preserve">costs </w:t>
      </w:r>
      <w:r w:rsidRPr="005E354B">
        <w:t xml:space="preserve">for UK students as defined above. At Abertay students may receive an award of </w:t>
      </w:r>
      <w:r w:rsidRPr="002F653D">
        <w:rPr>
          <w:b/>
          <w:u w:val="single"/>
        </w:rPr>
        <w:t>up to</w:t>
      </w:r>
      <w:r w:rsidRPr="002F653D">
        <w:rPr>
          <w:b/>
        </w:rPr>
        <w:t xml:space="preserve"> 100%</w:t>
      </w:r>
      <w:r w:rsidRPr="005E354B">
        <w:t xml:space="preserve"> of their formal childcare costs depending on their financial circumstances, their mode of study and their course.</w:t>
      </w:r>
    </w:p>
    <w:p w:rsidR="00C801AA" w:rsidRPr="005E354B" w:rsidRDefault="00C801AA" w:rsidP="00635FA1">
      <w:pPr>
        <w:spacing w:after="0" w:line="240" w:lineRule="auto"/>
        <w:jc w:val="both"/>
      </w:pPr>
    </w:p>
    <w:p w:rsidR="00C801AA" w:rsidRPr="002E7C6A" w:rsidRDefault="00C801AA" w:rsidP="00635FA1">
      <w:pPr>
        <w:spacing w:after="0" w:line="240" w:lineRule="auto"/>
        <w:jc w:val="both"/>
      </w:pPr>
      <w:r w:rsidRPr="002E7C6A">
        <w:t>Students who are eligible for childcare support from the childcare element of Tax Credits or through Early Learning and Childcare funding must claim this first. An award from the Discretionary Fund will be considered based on the balance that the student has to pay.</w:t>
      </w:r>
    </w:p>
    <w:p w:rsidR="00C801AA" w:rsidRPr="008A7365" w:rsidRDefault="00C801AA" w:rsidP="00635FA1">
      <w:pPr>
        <w:spacing w:after="0" w:line="240" w:lineRule="auto"/>
        <w:jc w:val="both"/>
        <w:rPr>
          <w:b/>
          <w:u w:val="single"/>
        </w:rPr>
      </w:pPr>
    </w:p>
    <w:p w:rsidR="00C801AA" w:rsidRDefault="00C801AA" w:rsidP="00635FA1">
      <w:pPr>
        <w:spacing w:after="0" w:line="240" w:lineRule="auto"/>
        <w:jc w:val="both"/>
        <w:rPr>
          <w:b/>
          <w:u w:val="single"/>
        </w:rPr>
      </w:pPr>
    </w:p>
    <w:p w:rsidR="00635FA1" w:rsidRDefault="00635FA1" w:rsidP="00635FA1">
      <w:pPr>
        <w:spacing w:after="0" w:line="240" w:lineRule="auto"/>
        <w:jc w:val="both"/>
        <w:rPr>
          <w:b/>
          <w:u w:val="single"/>
        </w:rPr>
      </w:pPr>
    </w:p>
    <w:p w:rsidR="00635FA1" w:rsidRDefault="00635FA1" w:rsidP="00635FA1">
      <w:pPr>
        <w:spacing w:after="0" w:line="240" w:lineRule="auto"/>
        <w:jc w:val="both"/>
        <w:rPr>
          <w:b/>
          <w:u w:val="single"/>
        </w:rPr>
      </w:pPr>
    </w:p>
    <w:p w:rsidR="00635FA1" w:rsidRDefault="00635FA1" w:rsidP="00635FA1">
      <w:pPr>
        <w:spacing w:after="0" w:line="240" w:lineRule="auto"/>
        <w:jc w:val="both"/>
        <w:rPr>
          <w:b/>
          <w:u w:val="single"/>
        </w:rPr>
      </w:pPr>
    </w:p>
    <w:p w:rsidR="00635FA1" w:rsidRDefault="00635FA1" w:rsidP="00635FA1">
      <w:pPr>
        <w:spacing w:after="0" w:line="240" w:lineRule="auto"/>
        <w:jc w:val="both"/>
        <w:rPr>
          <w:b/>
          <w:u w:val="single"/>
        </w:rPr>
      </w:pPr>
    </w:p>
    <w:p w:rsidR="00635FA1" w:rsidRDefault="00635FA1" w:rsidP="00635FA1">
      <w:pPr>
        <w:spacing w:after="0" w:line="240" w:lineRule="auto"/>
        <w:jc w:val="both"/>
        <w:rPr>
          <w:b/>
          <w:u w:val="single"/>
        </w:rPr>
      </w:pPr>
    </w:p>
    <w:p w:rsidR="00635FA1" w:rsidRDefault="00635FA1" w:rsidP="00635FA1">
      <w:pPr>
        <w:spacing w:after="0" w:line="240" w:lineRule="auto"/>
        <w:jc w:val="both"/>
        <w:rPr>
          <w:b/>
          <w:u w:val="single"/>
        </w:rPr>
      </w:pPr>
    </w:p>
    <w:p w:rsidR="00C801AA" w:rsidRPr="008A7365" w:rsidRDefault="00C801AA" w:rsidP="00635FA1">
      <w:pPr>
        <w:spacing w:after="0" w:line="240" w:lineRule="auto"/>
        <w:jc w:val="both"/>
        <w:rPr>
          <w:b/>
          <w:u w:val="single"/>
        </w:rPr>
      </w:pPr>
    </w:p>
    <w:p w:rsidR="00C801AA" w:rsidRPr="00471626" w:rsidRDefault="00C801AA" w:rsidP="00635FA1">
      <w:pPr>
        <w:shd w:val="clear" w:color="auto" w:fill="0099CC"/>
        <w:spacing w:after="0" w:line="240" w:lineRule="auto"/>
        <w:jc w:val="both"/>
        <w:rPr>
          <w:color w:val="FFFFFF" w:themeColor="background1"/>
        </w:rPr>
      </w:pPr>
      <w:r w:rsidRPr="00471626">
        <w:rPr>
          <w:b/>
          <w:color w:val="FFFFFF" w:themeColor="background1"/>
          <w:sz w:val="28"/>
          <w:szCs w:val="28"/>
        </w:rPr>
        <w:lastRenderedPageBreak/>
        <w:t>Financial Support from Other Sources</w:t>
      </w:r>
    </w:p>
    <w:p w:rsidR="00C801AA" w:rsidRPr="005E354B" w:rsidRDefault="00C801AA" w:rsidP="00635FA1">
      <w:pPr>
        <w:spacing w:after="0" w:line="240" w:lineRule="auto"/>
        <w:jc w:val="both"/>
      </w:pPr>
    </w:p>
    <w:p w:rsidR="00C801AA" w:rsidRPr="005E354B" w:rsidRDefault="00C801AA" w:rsidP="00635FA1">
      <w:pPr>
        <w:spacing w:after="0" w:line="240" w:lineRule="auto"/>
        <w:jc w:val="both"/>
      </w:pPr>
    </w:p>
    <w:p w:rsidR="00C801AA" w:rsidRPr="005E354B" w:rsidRDefault="00C801AA" w:rsidP="00635FA1">
      <w:pPr>
        <w:spacing w:after="0" w:line="240" w:lineRule="auto"/>
        <w:jc w:val="both"/>
      </w:pPr>
      <w:r w:rsidRPr="005E354B">
        <w:rPr>
          <w:b/>
          <w:sz w:val="28"/>
          <w:szCs w:val="28"/>
        </w:rPr>
        <w:t>Child Tax Credits and Child Benefit</w:t>
      </w:r>
    </w:p>
    <w:p w:rsidR="00C801AA" w:rsidRPr="005E354B" w:rsidRDefault="00C801AA" w:rsidP="00635FA1">
      <w:pPr>
        <w:spacing w:after="0" w:line="240" w:lineRule="auto"/>
        <w:jc w:val="both"/>
      </w:pPr>
    </w:p>
    <w:p w:rsidR="00C801AA" w:rsidRPr="005E354B" w:rsidRDefault="00C801AA" w:rsidP="00635FA1">
      <w:pPr>
        <w:spacing w:after="0" w:line="240" w:lineRule="auto"/>
        <w:jc w:val="both"/>
      </w:pPr>
      <w:r w:rsidRPr="005E354B">
        <w:t>Students with dependent children are usually entitled to Child Benefit and Child Tax Credits. Most parents already claim these benefits. If you think you may be entitled and have not yet claimed please contact the relevant department for more information.</w:t>
      </w:r>
    </w:p>
    <w:p w:rsidR="00C801AA" w:rsidRPr="005E354B" w:rsidRDefault="00C801AA" w:rsidP="00635FA1">
      <w:pPr>
        <w:spacing w:after="0" w:line="240" w:lineRule="auto"/>
        <w:jc w:val="both"/>
      </w:pPr>
    </w:p>
    <w:p w:rsidR="00C801AA" w:rsidRPr="005E354B" w:rsidRDefault="00C801AA" w:rsidP="00635FA1">
      <w:pPr>
        <w:spacing w:after="0" w:line="240" w:lineRule="auto"/>
        <w:jc w:val="both"/>
      </w:pPr>
      <w:r w:rsidRPr="005E354B">
        <w:t xml:space="preserve">Child Benefit Office: </w:t>
      </w:r>
      <w:r w:rsidRPr="002F653D">
        <w:rPr>
          <w:b/>
          <w:color w:val="0070C0"/>
          <w:lang w:val="en"/>
        </w:rPr>
        <w:t>0300 200 3100</w:t>
      </w:r>
    </w:p>
    <w:p w:rsidR="00C801AA" w:rsidRPr="005E354B" w:rsidRDefault="00C801AA" w:rsidP="00635FA1">
      <w:pPr>
        <w:spacing w:after="0" w:line="240" w:lineRule="auto"/>
        <w:jc w:val="both"/>
      </w:pPr>
      <w:r w:rsidRPr="005E354B">
        <w:t>Tax Credit Helpline:</w:t>
      </w:r>
      <w:r w:rsidRPr="005E354B">
        <w:rPr>
          <w:rStyle w:val="value"/>
          <w:b/>
          <w:lang w:val="en"/>
        </w:rPr>
        <w:t xml:space="preserve"> </w:t>
      </w:r>
      <w:r w:rsidRPr="002F653D">
        <w:rPr>
          <w:rStyle w:val="value"/>
          <w:b/>
          <w:color w:val="0070C0"/>
          <w:lang w:val="en"/>
        </w:rPr>
        <w:t>0345 300 3900</w:t>
      </w:r>
    </w:p>
    <w:p w:rsidR="00C801AA" w:rsidRDefault="00C801AA" w:rsidP="00635FA1">
      <w:pPr>
        <w:spacing w:after="0" w:line="240" w:lineRule="auto"/>
        <w:jc w:val="both"/>
        <w:rPr>
          <w:b/>
          <w:sz w:val="28"/>
          <w:szCs w:val="28"/>
        </w:rPr>
      </w:pPr>
    </w:p>
    <w:p w:rsidR="00C801AA" w:rsidRPr="005E354B" w:rsidRDefault="00C801AA" w:rsidP="00635FA1">
      <w:pPr>
        <w:spacing w:after="0" w:line="240" w:lineRule="auto"/>
        <w:jc w:val="both"/>
        <w:rPr>
          <w:b/>
          <w:sz w:val="28"/>
          <w:szCs w:val="28"/>
        </w:rPr>
      </w:pPr>
    </w:p>
    <w:p w:rsidR="00C801AA" w:rsidRPr="005E354B" w:rsidRDefault="00C801AA" w:rsidP="00635FA1">
      <w:pPr>
        <w:spacing w:after="0" w:line="240" w:lineRule="auto"/>
        <w:jc w:val="both"/>
        <w:rPr>
          <w:b/>
          <w:sz w:val="28"/>
          <w:szCs w:val="28"/>
        </w:rPr>
      </w:pPr>
      <w:r w:rsidRPr="005E354B">
        <w:rPr>
          <w:b/>
          <w:sz w:val="28"/>
          <w:szCs w:val="28"/>
        </w:rPr>
        <w:t>Working Tax Credits</w:t>
      </w:r>
    </w:p>
    <w:p w:rsidR="00C801AA" w:rsidRPr="005E354B" w:rsidRDefault="00C801AA" w:rsidP="00635FA1">
      <w:pPr>
        <w:spacing w:after="0" w:line="240" w:lineRule="auto"/>
        <w:jc w:val="both"/>
        <w:rPr>
          <w:b/>
        </w:rPr>
      </w:pPr>
    </w:p>
    <w:p w:rsidR="00C801AA" w:rsidRPr="005E354B" w:rsidRDefault="00C801AA" w:rsidP="00635FA1">
      <w:pPr>
        <w:spacing w:after="0" w:line="240" w:lineRule="auto"/>
        <w:jc w:val="both"/>
      </w:pPr>
      <w:r w:rsidRPr="005E354B">
        <w:t>Student who are working at least 16 hours a week especially those with children, may be entitled to Working Tax Credits. Tax Credits are based on household income.</w:t>
      </w:r>
    </w:p>
    <w:p w:rsidR="00C801AA" w:rsidRDefault="00C801AA" w:rsidP="00635FA1">
      <w:pPr>
        <w:spacing w:after="0" w:line="240" w:lineRule="auto"/>
        <w:jc w:val="both"/>
      </w:pPr>
    </w:p>
    <w:p w:rsidR="00C801AA" w:rsidRPr="005E354B" w:rsidRDefault="00C801AA" w:rsidP="00635FA1">
      <w:pPr>
        <w:spacing w:after="0" w:line="240" w:lineRule="auto"/>
        <w:jc w:val="both"/>
      </w:pPr>
    </w:p>
    <w:p w:rsidR="00C801AA" w:rsidRPr="005E354B" w:rsidRDefault="00C801AA" w:rsidP="00635FA1">
      <w:pPr>
        <w:spacing w:after="0" w:line="240" w:lineRule="auto"/>
        <w:jc w:val="both"/>
      </w:pPr>
      <w:r w:rsidRPr="005E354B">
        <w:t xml:space="preserve">Working Tax Credits eligibility </w:t>
      </w:r>
      <w:r>
        <w:t xml:space="preserve">table </w:t>
      </w:r>
      <w:r w:rsidRPr="005E354B">
        <w:t>– number of hours of work required per week:</w:t>
      </w:r>
    </w:p>
    <w:p w:rsidR="00C801AA" w:rsidRPr="005E354B" w:rsidRDefault="00C801AA" w:rsidP="00635FA1">
      <w:pPr>
        <w:spacing w:after="0" w:line="240" w:lineRule="auto"/>
        <w:jc w:val="both"/>
      </w:pPr>
    </w:p>
    <w:tbl>
      <w:tblPr>
        <w:tblStyle w:val="TableGrid"/>
        <w:tblW w:w="0" w:type="auto"/>
        <w:tblLook w:val="04A0" w:firstRow="1" w:lastRow="0" w:firstColumn="1" w:lastColumn="0" w:noHBand="0" w:noVBand="1"/>
      </w:tblPr>
      <w:tblGrid>
        <w:gridCol w:w="3080"/>
        <w:gridCol w:w="1564"/>
        <w:gridCol w:w="4598"/>
      </w:tblGrid>
      <w:tr w:rsidR="00C801AA" w:rsidRPr="005E354B" w:rsidTr="00C66CA5">
        <w:tc>
          <w:tcPr>
            <w:tcW w:w="3080" w:type="dxa"/>
          </w:tcPr>
          <w:p w:rsidR="00C801AA" w:rsidRPr="005E354B" w:rsidRDefault="00C801AA" w:rsidP="00635FA1">
            <w:pPr>
              <w:jc w:val="both"/>
              <w:rPr>
                <w:b/>
              </w:rPr>
            </w:pPr>
            <w:r w:rsidRPr="005E354B">
              <w:rPr>
                <w:b/>
              </w:rPr>
              <w:t>Age and Circumstances</w:t>
            </w:r>
          </w:p>
        </w:tc>
        <w:tc>
          <w:tcPr>
            <w:tcW w:w="1564" w:type="dxa"/>
          </w:tcPr>
          <w:p w:rsidR="00C801AA" w:rsidRPr="005E354B" w:rsidRDefault="00C801AA" w:rsidP="00635FA1">
            <w:pPr>
              <w:jc w:val="both"/>
              <w:rPr>
                <w:b/>
              </w:rPr>
            </w:pPr>
            <w:r w:rsidRPr="005E354B">
              <w:rPr>
                <w:b/>
              </w:rPr>
              <w:t>No Children</w:t>
            </w:r>
          </w:p>
        </w:tc>
        <w:tc>
          <w:tcPr>
            <w:tcW w:w="4598" w:type="dxa"/>
          </w:tcPr>
          <w:p w:rsidR="00C801AA" w:rsidRPr="005E354B" w:rsidRDefault="00C801AA" w:rsidP="00635FA1">
            <w:pPr>
              <w:jc w:val="both"/>
              <w:rPr>
                <w:b/>
              </w:rPr>
            </w:pPr>
            <w:r w:rsidRPr="005E354B">
              <w:rPr>
                <w:b/>
              </w:rPr>
              <w:t>With Children</w:t>
            </w:r>
          </w:p>
        </w:tc>
      </w:tr>
      <w:tr w:rsidR="00C801AA" w:rsidRPr="005E354B" w:rsidTr="00C66CA5">
        <w:tc>
          <w:tcPr>
            <w:tcW w:w="3080" w:type="dxa"/>
          </w:tcPr>
          <w:p w:rsidR="00C801AA" w:rsidRPr="005E354B" w:rsidRDefault="00C801AA" w:rsidP="00635FA1">
            <w:pPr>
              <w:jc w:val="both"/>
            </w:pPr>
            <w:r w:rsidRPr="005E354B">
              <w:t>Single Under 25</w:t>
            </w:r>
          </w:p>
        </w:tc>
        <w:tc>
          <w:tcPr>
            <w:tcW w:w="1564" w:type="dxa"/>
          </w:tcPr>
          <w:p w:rsidR="00C801AA" w:rsidRPr="005E354B" w:rsidRDefault="00C801AA" w:rsidP="00635FA1">
            <w:pPr>
              <w:jc w:val="both"/>
            </w:pPr>
            <w:r w:rsidRPr="005E354B">
              <w:t>Not eligible</w:t>
            </w:r>
          </w:p>
        </w:tc>
        <w:tc>
          <w:tcPr>
            <w:tcW w:w="4598" w:type="dxa"/>
          </w:tcPr>
          <w:p w:rsidR="00C801AA" w:rsidRPr="005E354B" w:rsidRDefault="00C801AA" w:rsidP="00635FA1">
            <w:pPr>
              <w:jc w:val="both"/>
            </w:pPr>
            <w:r w:rsidRPr="005E354B">
              <w:t>16hrs</w:t>
            </w:r>
            <w:r>
              <w:t>+</w:t>
            </w:r>
          </w:p>
        </w:tc>
      </w:tr>
      <w:tr w:rsidR="00C801AA" w:rsidRPr="005E354B" w:rsidTr="00C66CA5">
        <w:tc>
          <w:tcPr>
            <w:tcW w:w="3080" w:type="dxa"/>
          </w:tcPr>
          <w:p w:rsidR="00C801AA" w:rsidRPr="005E354B" w:rsidRDefault="00C801AA" w:rsidP="00635FA1">
            <w:pPr>
              <w:jc w:val="both"/>
            </w:pPr>
            <w:r w:rsidRPr="005E354B">
              <w:t>Single 25-59</w:t>
            </w:r>
          </w:p>
        </w:tc>
        <w:tc>
          <w:tcPr>
            <w:tcW w:w="1564" w:type="dxa"/>
          </w:tcPr>
          <w:p w:rsidR="00C801AA" w:rsidRPr="005E354B" w:rsidRDefault="00C801AA" w:rsidP="00635FA1">
            <w:pPr>
              <w:jc w:val="both"/>
            </w:pPr>
            <w:r w:rsidRPr="005E354B">
              <w:t>30hrs</w:t>
            </w:r>
            <w:r>
              <w:t>+</w:t>
            </w:r>
          </w:p>
        </w:tc>
        <w:tc>
          <w:tcPr>
            <w:tcW w:w="4598" w:type="dxa"/>
          </w:tcPr>
          <w:p w:rsidR="00C801AA" w:rsidRPr="005E354B" w:rsidRDefault="00C801AA" w:rsidP="00635FA1">
            <w:pPr>
              <w:jc w:val="both"/>
            </w:pPr>
            <w:r w:rsidRPr="005E354B">
              <w:t>16hrs</w:t>
            </w:r>
            <w:r>
              <w:t>+</w:t>
            </w:r>
          </w:p>
        </w:tc>
      </w:tr>
      <w:tr w:rsidR="00C801AA" w:rsidRPr="005E354B" w:rsidTr="00C66CA5">
        <w:tc>
          <w:tcPr>
            <w:tcW w:w="3080" w:type="dxa"/>
          </w:tcPr>
          <w:p w:rsidR="00C801AA" w:rsidRPr="005E354B" w:rsidRDefault="00C801AA" w:rsidP="00635FA1">
            <w:pPr>
              <w:jc w:val="both"/>
            </w:pPr>
            <w:r w:rsidRPr="005E354B">
              <w:t>Single 60+</w:t>
            </w:r>
          </w:p>
        </w:tc>
        <w:tc>
          <w:tcPr>
            <w:tcW w:w="1564" w:type="dxa"/>
          </w:tcPr>
          <w:p w:rsidR="00C801AA" w:rsidRPr="005E354B" w:rsidRDefault="00C801AA" w:rsidP="00635FA1">
            <w:pPr>
              <w:jc w:val="both"/>
            </w:pPr>
            <w:r w:rsidRPr="005E354B">
              <w:t>16hrs</w:t>
            </w:r>
            <w:r>
              <w:t>+</w:t>
            </w:r>
          </w:p>
        </w:tc>
        <w:tc>
          <w:tcPr>
            <w:tcW w:w="4598" w:type="dxa"/>
          </w:tcPr>
          <w:p w:rsidR="00C801AA" w:rsidRPr="005E354B" w:rsidRDefault="00C801AA" w:rsidP="00635FA1">
            <w:pPr>
              <w:jc w:val="both"/>
            </w:pPr>
            <w:r w:rsidRPr="005E354B">
              <w:t>16hrs</w:t>
            </w:r>
            <w:r>
              <w:t>+</w:t>
            </w:r>
          </w:p>
        </w:tc>
      </w:tr>
      <w:tr w:rsidR="00C801AA" w:rsidRPr="005E354B" w:rsidTr="00C66CA5">
        <w:tc>
          <w:tcPr>
            <w:tcW w:w="3080" w:type="dxa"/>
          </w:tcPr>
          <w:p w:rsidR="00C801AA" w:rsidRPr="005E354B" w:rsidRDefault="00C801AA" w:rsidP="00635FA1">
            <w:pPr>
              <w:jc w:val="both"/>
            </w:pPr>
            <w:r w:rsidRPr="005E354B">
              <w:t>Couple Under 25</w:t>
            </w:r>
          </w:p>
        </w:tc>
        <w:tc>
          <w:tcPr>
            <w:tcW w:w="1564" w:type="dxa"/>
          </w:tcPr>
          <w:p w:rsidR="00C801AA" w:rsidRPr="005E354B" w:rsidRDefault="00C801AA" w:rsidP="00635FA1">
            <w:pPr>
              <w:jc w:val="both"/>
            </w:pPr>
            <w:r w:rsidRPr="005E354B">
              <w:t>Not eligible</w:t>
            </w:r>
          </w:p>
        </w:tc>
        <w:tc>
          <w:tcPr>
            <w:tcW w:w="4598" w:type="dxa"/>
          </w:tcPr>
          <w:p w:rsidR="00C801AA" w:rsidRPr="005E354B" w:rsidRDefault="00C801AA" w:rsidP="00635FA1">
            <w:pPr>
              <w:jc w:val="both"/>
            </w:pPr>
            <w:r>
              <w:t>24</w:t>
            </w:r>
            <w:r w:rsidRPr="005E354B">
              <w:t>hrs</w:t>
            </w:r>
            <w:r>
              <w:t>+ total (</w:t>
            </w:r>
            <w:r w:rsidRPr="005E354B">
              <w:t>1 person working</w:t>
            </w:r>
            <w:r>
              <w:t xml:space="preserve"> at least 16hrs</w:t>
            </w:r>
            <w:r w:rsidRPr="005E354B">
              <w:t>)</w:t>
            </w:r>
          </w:p>
        </w:tc>
      </w:tr>
      <w:tr w:rsidR="00C801AA" w:rsidRPr="005E354B" w:rsidTr="00C66CA5">
        <w:tc>
          <w:tcPr>
            <w:tcW w:w="3080" w:type="dxa"/>
          </w:tcPr>
          <w:p w:rsidR="00C801AA" w:rsidRPr="005E354B" w:rsidRDefault="00C801AA" w:rsidP="00635FA1">
            <w:pPr>
              <w:jc w:val="both"/>
            </w:pPr>
            <w:r w:rsidRPr="005E354B">
              <w:t>Couple 25-59</w:t>
            </w:r>
          </w:p>
        </w:tc>
        <w:tc>
          <w:tcPr>
            <w:tcW w:w="1564" w:type="dxa"/>
          </w:tcPr>
          <w:p w:rsidR="00C801AA" w:rsidRPr="005E354B" w:rsidRDefault="00C801AA" w:rsidP="00635FA1">
            <w:pPr>
              <w:jc w:val="both"/>
            </w:pPr>
            <w:r w:rsidRPr="005E354B">
              <w:t>30hrs</w:t>
            </w:r>
            <w:r>
              <w:t>+</w:t>
            </w:r>
          </w:p>
        </w:tc>
        <w:tc>
          <w:tcPr>
            <w:tcW w:w="4598" w:type="dxa"/>
          </w:tcPr>
          <w:p w:rsidR="00C801AA" w:rsidRPr="005E354B" w:rsidRDefault="00C801AA" w:rsidP="00635FA1">
            <w:pPr>
              <w:jc w:val="both"/>
            </w:pPr>
            <w:r>
              <w:t>24</w:t>
            </w:r>
            <w:r w:rsidRPr="005E354B">
              <w:t>hrs</w:t>
            </w:r>
            <w:r>
              <w:t>+</w:t>
            </w:r>
            <w:r w:rsidRPr="005E354B">
              <w:t xml:space="preserve"> total </w:t>
            </w:r>
            <w:r>
              <w:t>(</w:t>
            </w:r>
            <w:r w:rsidRPr="005E354B">
              <w:t>1 person working</w:t>
            </w:r>
            <w:r>
              <w:t xml:space="preserve"> at least 16hrs</w:t>
            </w:r>
            <w:r w:rsidRPr="005E354B">
              <w:t>)</w:t>
            </w:r>
          </w:p>
        </w:tc>
      </w:tr>
      <w:tr w:rsidR="00C801AA" w:rsidRPr="005E354B" w:rsidTr="00C66CA5">
        <w:tc>
          <w:tcPr>
            <w:tcW w:w="3080" w:type="dxa"/>
          </w:tcPr>
          <w:p w:rsidR="00C801AA" w:rsidRPr="005E354B" w:rsidRDefault="00C801AA" w:rsidP="00635FA1">
            <w:pPr>
              <w:jc w:val="both"/>
            </w:pPr>
            <w:r w:rsidRPr="005E354B">
              <w:t>Couple 60+</w:t>
            </w:r>
          </w:p>
        </w:tc>
        <w:tc>
          <w:tcPr>
            <w:tcW w:w="1564" w:type="dxa"/>
          </w:tcPr>
          <w:p w:rsidR="00C801AA" w:rsidRPr="005E354B" w:rsidRDefault="00C801AA" w:rsidP="00635FA1">
            <w:pPr>
              <w:jc w:val="both"/>
            </w:pPr>
            <w:r w:rsidRPr="005E354B">
              <w:t>16hrs</w:t>
            </w:r>
            <w:r>
              <w:t>+</w:t>
            </w:r>
          </w:p>
        </w:tc>
        <w:tc>
          <w:tcPr>
            <w:tcW w:w="4598" w:type="dxa"/>
          </w:tcPr>
          <w:p w:rsidR="00C801AA" w:rsidRPr="005E354B" w:rsidRDefault="00C801AA" w:rsidP="00635FA1">
            <w:pPr>
              <w:jc w:val="both"/>
            </w:pPr>
            <w:r w:rsidRPr="00CF4C4B">
              <w:t>16hrs</w:t>
            </w:r>
            <w:r>
              <w:t>+</w:t>
            </w:r>
            <w:r w:rsidRPr="00CF4C4B">
              <w:t xml:space="preserve"> </w:t>
            </w:r>
            <w:r>
              <w:t>(</w:t>
            </w:r>
            <w:r w:rsidRPr="005E354B">
              <w:t>1 person working</w:t>
            </w:r>
            <w:r>
              <w:t xml:space="preserve"> at least 16hrs</w:t>
            </w:r>
            <w:r w:rsidRPr="005E354B">
              <w:t>)</w:t>
            </w:r>
          </w:p>
        </w:tc>
      </w:tr>
      <w:tr w:rsidR="00C801AA" w:rsidRPr="005E354B" w:rsidTr="00C66CA5">
        <w:tc>
          <w:tcPr>
            <w:tcW w:w="3080" w:type="dxa"/>
          </w:tcPr>
          <w:p w:rsidR="00C801AA" w:rsidRPr="005E354B" w:rsidRDefault="00C801AA" w:rsidP="00635FA1">
            <w:pPr>
              <w:jc w:val="both"/>
            </w:pPr>
            <w:r>
              <w:t>Single 16+ (with a disability)</w:t>
            </w:r>
          </w:p>
        </w:tc>
        <w:tc>
          <w:tcPr>
            <w:tcW w:w="1564" w:type="dxa"/>
          </w:tcPr>
          <w:p w:rsidR="00C801AA" w:rsidRPr="005E354B" w:rsidRDefault="00C801AA" w:rsidP="00635FA1">
            <w:pPr>
              <w:jc w:val="both"/>
            </w:pPr>
            <w:r>
              <w:t>16hrs+</w:t>
            </w:r>
          </w:p>
        </w:tc>
        <w:tc>
          <w:tcPr>
            <w:tcW w:w="4598" w:type="dxa"/>
          </w:tcPr>
          <w:p w:rsidR="00C801AA" w:rsidRPr="00CF4C4B" w:rsidRDefault="00C801AA" w:rsidP="00635FA1">
            <w:pPr>
              <w:jc w:val="both"/>
            </w:pPr>
            <w:r>
              <w:t>16hrs+</w:t>
            </w:r>
          </w:p>
        </w:tc>
      </w:tr>
      <w:tr w:rsidR="00C801AA" w:rsidRPr="005E354B" w:rsidTr="00C66CA5">
        <w:tc>
          <w:tcPr>
            <w:tcW w:w="3080" w:type="dxa"/>
          </w:tcPr>
          <w:p w:rsidR="00C801AA" w:rsidRDefault="00C801AA" w:rsidP="00635FA1">
            <w:pPr>
              <w:jc w:val="both"/>
            </w:pPr>
            <w:r>
              <w:t>Couple 16+ (with a disability)</w:t>
            </w:r>
          </w:p>
        </w:tc>
        <w:tc>
          <w:tcPr>
            <w:tcW w:w="1564" w:type="dxa"/>
          </w:tcPr>
          <w:p w:rsidR="00C801AA" w:rsidRDefault="00C801AA" w:rsidP="00635FA1">
            <w:pPr>
              <w:jc w:val="both"/>
            </w:pPr>
            <w:r>
              <w:t>16hrs+</w:t>
            </w:r>
          </w:p>
        </w:tc>
        <w:tc>
          <w:tcPr>
            <w:tcW w:w="4598" w:type="dxa"/>
          </w:tcPr>
          <w:p w:rsidR="00C801AA" w:rsidRDefault="00C801AA" w:rsidP="00635FA1">
            <w:pPr>
              <w:jc w:val="both"/>
            </w:pPr>
            <w:r>
              <w:t>16hrs+</w:t>
            </w:r>
          </w:p>
        </w:tc>
      </w:tr>
    </w:tbl>
    <w:p w:rsidR="00C801AA" w:rsidRDefault="00C801AA" w:rsidP="00635FA1">
      <w:pPr>
        <w:spacing w:after="0" w:line="240" w:lineRule="auto"/>
        <w:jc w:val="both"/>
        <w:rPr>
          <w:rFonts w:eastAsia="Times New Roman" w:cs="Times New Roman"/>
          <w:b/>
          <w:lang w:val="en" w:eastAsia="en-GB"/>
        </w:rPr>
      </w:pPr>
    </w:p>
    <w:p w:rsidR="00C801AA" w:rsidRPr="005E354B" w:rsidRDefault="00C801AA" w:rsidP="00635FA1">
      <w:pPr>
        <w:spacing w:after="0" w:line="240" w:lineRule="auto"/>
        <w:jc w:val="both"/>
      </w:pPr>
      <w:r w:rsidRPr="005E354B">
        <w:t>There are some exceptions to t</w:t>
      </w:r>
      <w:r>
        <w:t xml:space="preserve">he number of hours required for couples </w:t>
      </w:r>
      <w:r w:rsidRPr="005E354B">
        <w:t>to claim WTC</w:t>
      </w:r>
      <w:r>
        <w:t>, for example if your partner is in receipt of Carer’s Allowance</w:t>
      </w:r>
      <w:r w:rsidRPr="005E354B">
        <w:t xml:space="preserve">. Full details can be found online at </w:t>
      </w:r>
      <w:hyperlink r:id="rId28" w:history="1">
        <w:r w:rsidR="002F653D" w:rsidRPr="002F653D">
          <w:rPr>
            <w:rStyle w:val="Hyperlink"/>
            <w:b/>
            <w:color w:val="0070C0"/>
          </w:rPr>
          <w:t>www.gov.uk/working-tax-credit/eligibility</w:t>
        </w:r>
      </w:hyperlink>
      <w:r w:rsidR="002F653D">
        <w:rPr>
          <w:b/>
        </w:rPr>
        <w:t xml:space="preserve"> </w:t>
      </w:r>
    </w:p>
    <w:p w:rsidR="00C801AA" w:rsidRDefault="00C801AA" w:rsidP="00635FA1">
      <w:pPr>
        <w:spacing w:after="0" w:line="240" w:lineRule="auto"/>
        <w:jc w:val="both"/>
      </w:pPr>
    </w:p>
    <w:p w:rsidR="00C801AA" w:rsidRDefault="00C801AA" w:rsidP="00635FA1">
      <w:pPr>
        <w:spacing w:after="0" w:line="240" w:lineRule="auto"/>
        <w:jc w:val="both"/>
      </w:pPr>
    </w:p>
    <w:p w:rsidR="00C801AA" w:rsidRPr="005E354B" w:rsidRDefault="00C801AA" w:rsidP="00635FA1">
      <w:pPr>
        <w:spacing w:after="0" w:line="240" w:lineRule="auto"/>
        <w:jc w:val="both"/>
      </w:pPr>
    </w:p>
    <w:p w:rsidR="00C801AA" w:rsidRPr="005E354B" w:rsidRDefault="00C801AA" w:rsidP="00635FA1">
      <w:pPr>
        <w:spacing w:after="0" w:line="240" w:lineRule="auto"/>
        <w:jc w:val="both"/>
        <w:rPr>
          <w:b/>
        </w:rPr>
      </w:pPr>
      <w:r w:rsidRPr="005E354B">
        <w:rPr>
          <w:b/>
          <w:sz w:val="28"/>
          <w:szCs w:val="28"/>
        </w:rPr>
        <w:t>The Childcare Element of Tax Credits</w:t>
      </w:r>
    </w:p>
    <w:p w:rsidR="00C801AA" w:rsidRPr="005E354B" w:rsidRDefault="00C801AA" w:rsidP="00635FA1">
      <w:pPr>
        <w:spacing w:after="0" w:line="240" w:lineRule="auto"/>
        <w:jc w:val="both"/>
        <w:rPr>
          <w:b/>
        </w:rPr>
      </w:pPr>
    </w:p>
    <w:p w:rsidR="00C801AA" w:rsidRPr="005E354B" w:rsidRDefault="00C801AA" w:rsidP="00635FA1">
      <w:pPr>
        <w:spacing w:after="0" w:line="240" w:lineRule="auto"/>
        <w:jc w:val="both"/>
      </w:pPr>
      <w:r w:rsidRPr="005E354B">
        <w:t xml:space="preserve">Students who are eligible for Working Tax Credits may also be eligible for the Childcare Element of Tax Credits which can cover up to 70% of eligible weekly childcare costs. </w:t>
      </w:r>
    </w:p>
    <w:p w:rsidR="00C801AA" w:rsidRPr="005E354B" w:rsidRDefault="00C801AA" w:rsidP="00635FA1">
      <w:pPr>
        <w:spacing w:after="0" w:line="240" w:lineRule="auto"/>
        <w:jc w:val="both"/>
      </w:pPr>
    </w:p>
    <w:p w:rsidR="00C801AA" w:rsidRPr="005E354B" w:rsidRDefault="00C801AA" w:rsidP="00635FA1">
      <w:pPr>
        <w:spacing w:after="0" w:line="240" w:lineRule="auto"/>
        <w:jc w:val="both"/>
        <w:rPr>
          <w:b/>
        </w:rPr>
      </w:pPr>
      <w:r w:rsidRPr="005E354B">
        <w:t xml:space="preserve">More information can be found online at </w:t>
      </w:r>
      <w:hyperlink r:id="rId29" w:history="1">
        <w:r w:rsidR="002F653D" w:rsidRPr="002F653D">
          <w:rPr>
            <w:rStyle w:val="Hyperlink"/>
            <w:b/>
            <w:color w:val="0070C0"/>
          </w:rPr>
          <w:t>www.gov.uk/childcare-tax-credits/eligibility</w:t>
        </w:r>
      </w:hyperlink>
      <w:r w:rsidR="002F653D">
        <w:rPr>
          <w:b/>
        </w:rPr>
        <w:t xml:space="preserve"> </w:t>
      </w:r>
      <w:r w:rsidRPr="005E354B">
        <w:t>or by contacting Tax Credits direct on</w:t>
      </w:r>
      <w:r w:rsidRPr="005E354B">
        <w:rPr>
          <w:b/>
        </w:rPr>
        <w:t xml:space="preserve"> </w:t>
      </w:r>
      <w:r w:rsidRPr="002F653D">
        <w:rPr>
          <w:rStyle w:val="value"/>
          <w:b/>
          <w:color w:val="0070C0"/>
          <w:lang w:val="en"/>
        </w:rPr>
        <w:t>0345 300 3900</w:t>
      </w:r>
      <w:r w:rsidRPr="005E354B">
        <w:rPr>
          <w:rStyle w:val="value"/>
          <w:b/>
          <w:lang w:val="en"/>
        </w:rPr>
        <w:t>.</w:t>
      </w:r>
    </w:p>
    <w:p w:rsidR="00C801AA" w:rsidRPr="005E354B" w:rsidRDefault="00C801AA" w:rsidP="00635FA1">
      <w:pPr>
        <w:spacing w:after="0" w:line="240" w:lineRule="auto"/>
        <w:jc w:val="both"/>
      </w:pPr>
    </w:p>
    <w:p w:rsidR="00C801AA" w:rsidRDefault="00C801AA" w:rsidP="00635FA1">
      <w:pPr>
        <w:spacing w:after="0" w:line="240" w:lineRule="auto"/>
        <w:jc w:val="both"/>
      </w:pPr>
    </w:p>
    <w:p w:rsidR="00C801AA" w:rsidRDefault="00C801AA" w:rsidP="00635FA1">
      <w:pPr>
        <w:spacing w:after="0" w:line="240" w:lineRule="auto"/>
        <w:jc w:val="both"/>
      </w:pPr>
    </w:p>
    <w:p w:rsidR="00635FA1" w:rsidRDefault="00635FA1" w:rsidP="00635FA1">
      <w:pPr>
        <w:spacing w:after="0" w:line="240" w:lineRule="auto"/>
        <w:jc w:val="both"/>
      </w:pPr>
    </w:p>
    <w:p w:rsidR="00635FA1" w:rsidRPr="005E354B" w:rsidRDefault="00635FA1" w:rsidP="00635FA1">
      <w:pPr>
        <w:spacing w:after="0" w:line="240" w:lineRule="auto"/>
        <w:jc w:val="both"/>
      </w:pPr>
    </w:p>
    <w:p w:rsidR="00C801AA" w:rsidRPr="005E354B" w:rsidRDefault="00C801AA" w:rsidP="00635FA1">
      <w:pPr>
        <w:spacing w:after="0" w:line="240" w:lineRule="auto"/>
        <w:jc w:val="both"/>
        <w:rPr>
          <w:b/>
          <w:sz w:val="28"/>
          <w:szCs w:val="28"/>
        </w:rPr>
      </w:pPr>
      <w:r w:rsidRPr="005E354B">
        <w:rPr>
          <w:b/>
          <w:sz w:val="28"/>
          <w:szCs w:val="28"/>
        </w:rPr>
        <w:lastRenderedPageBreak/>
        <w:t>Housing Benefit</w:t>
      </w:r>
    </w:p>
    <w:p w:rsidR="00C801AA" w:rsidRPr="005E354B" w:rsidRDefault="00C801AA" w:rsidP="00635FA1">
      <w:pPr>
        <w:spacing w:after="0" w:line="240" w:lineRule="auto"/>
        <w:jc w:val="both"/>
        <w:rPr>
          <w:b/>
        </w:rPr>
      </w:pPr>
    </w:p>
    <w:p w:rsidR="00C801AA" w:rsidRPr="005E354B" w:rsidRDefault="00C801AA" w:rsidP="00635FA1">
      <w:pPr>
        <w:spacing w:after="0" w:line="240" w:lineRule="auto"/>
        <w:jc w:val="both"/>
      </w:pPr>
      <w:r w:rsidRPr="005E354B">
        <w:t>Most full time students are not entitled to Housing Benefit but there are some exceptions to this rule:</w:t>
      </w:r>
    </w:p>
    <w:p w:rsidR="00C801AA" w:rsidRPr="005E354B" w:rsidRDefault="00C801AA" w:rsidP="00635FA1">
      <w:pPr>
        <w:spacing w:after="0" w:line="240" w:lineRule="auto"/>
        <w:jc w:val="both"/>
      </w:pPr>
    </w:p>
    <w:p w:rsidR="00C801AA" w:rsidRPr="005E354B" w:rsidRDefault="00C801AA" w:rsidP="00635FA1">
      <w:pPr>
        <w:pStyle w:val="ListParagraph"/>
        <w:numPr>
          <w:ilvl w:val="0"/>
          <w:numId w:val="4"/>
        </w:numPr>
        <w:spacing w:after="0" w:line="240" w:lineRule="auto"/>
        <w:jc w:val="both"/>
      </w:pPr>
      <w:r w:rsidRPr="005E354B">
        <w:t xml:space="preserve">Students with dependent children </w:t>
      </w:r>
    </w:p>
    <w:p w:rsidR="00C801AA" w:rsidRPr="005E354B" w:rsidRDefault="00C801AA" w:rsidP="00635FA1">
      <w:pPr>
        <w:pStyle w:val="ListParagraph"/>
        <w:numPr>
          <w:ilvl w:val="0"/>
          <w:numId w:val="4"/>
        </w:numPr>
        <w:spacing w:after="0" w:line="240" w:lineRule="auto"/>
        <w:jc w:val="both"/>
      </w:pPr>
      <w:r w:rsidRPr="005E354B">
        <w:t>Students with a non-student partner living at the same address</w:t>
      </w:r>
      <w:r>
        <w:t xml:space="preserve"> </w:t>
      </w:r>
    </w:p>
    <w:p w:rsidR="00C801AA" w:rsidRPr="005E354B" w:rsidRDefault="00C801AA" w:rsidP="00635FA1">
      <w:pPr>
        <w:pStyle w:val="ListParagraph"/>
        <w:numPr>
          <w:ilvl w:val="0"/>
          <w:numId w:val="4"/>
        </w:numPr>
        <w:spacing w:after="0" w:line="240" w:lineRule="auto"/>
        <w:jc w:val="both"/>
      </w:pPr>
      <w:r w:rsidRPr="005E354B">
        <w:t>Disabled students</w:t>
      </w:r>
    </w:p>
    <w:p w:rsidR="00C801AA" w:rsidRDefault="00C801AA" w:rsidP="00635FA1">
      <w:pPr>
        <w:spacing w:after="0" w:line="240" w:lineRule="auto"/>
        <w:jc w:val="both"/>
      </w:pPr>
    </w:p>
    <w:p w:rsidR="00C801AA" w:rsidRDefault="00C801AA" w:rsidP="00635FA1">
      <w:pPr>
        <w:spacing w:after="0" w:line="240" w:lineRule="auto"/>
        <w:jc w:val="both"/>
      </w:pPr>
      <w:r>
        <w:t>Part time students are entitled to claim Housing Benefit.</w:t>
      </w:r>
    </w:p>
    <w:p w:rsidR="00C801AA" w:rsidRPr="005E354B" w:rsidRDefault="00C801AA" w:rsidP="00635FA1">
      <w:pPr>
        <w:spacing w:after="0" w:line="240" w:lineRule="auto"/>
        <w:jc w:val="both"/>
      </w:pPr>
    </w:p>
    <w:p w:rsidR="00C801AA" w:rsidRDefault="00C801AA" w:rsidP="00635FA1">
      <w:pPr>
        <w:spacing w:after="0" w:line="240" w:lineRule="auto"/>
        <w:jc w:val="both"/>
      </w:pPr>
      <w:r w:rsidRPr="005E354B">
        <w:t xml:space="preserve">Housing Benefit is applicable to people living in rented accommodation and </w:t>
      </w:r>
      <w:r>
        <w:t xml:space="preserve">is </w:t>
      </w:r>
      <w:r w:rsidRPr="005E354B">
        <w:t>based on household income. Full eligibility details, applications</w:t>
      </w:r>
      <w:r>
        <w:t xml:space="preserve"> and guidance can be obtained from your</w:t>
      </w:r>
      <w:r w:rsidRPr="005E354B">
        <w:t xml:space="preserve"> Local Authority.</w:t>
      </w:r>
    </w:p>
    <w:p w:rsidR="00C801AA" w:rsidRDefault="00C801AA" w:rsidP="00635FA1">
      <w:pPr>
        <w:spacing w:after="0" w:line="240" w:lineRule="auto"/>
        <w:jc w:val="both"/>
      </w:pPr>
    </w:p>
    <w:p w:rsidR="00C801AA" w:rsidRPr="005E354B" w:rsidRDefault="00C801AA" w:rsidP="00635FA1">
      <w:pPr>
        <w:spacing w:after="0" w:line="240" w:lineRule="auto"/>
        <w:jc w:val="both"/>
      </w:pPr>
    </w:p>
    <w:p w:rsidR="00C801AA" w:rsidRPr="005E354B" w:rsidRDefault="00C801AA" w:rsidP="00635FA1">
      <w:pPr>
        <w:spacing w:after="0" w:line="240" w:lineRule="auto"/>
        <w:jc w:val="both"/>
      </w:pPr>
      <w:r w:rsidRPr="005E354B">
        <w:rPr>
          <w:b/>
          <w:sz w:val="28"/>
          <w:szCs w:val="28"/>
        </w:rPr>
        <w:t>Personal Independence Payment</w:t>
      </w:r>
    </w:p>
    <w:p w:rsidR="00C801AA" w:rsidRPr="005E354B" w:rsidRDefault="00C801AA" w:rsidP="00635FA1">
      <w:pPr>
        <w:spacing w:after="0" w:line="240" w:lineRule="auto"/>
        <w:jc w:val="both"/>
      </w:pPr>
    </w:p>
    <w:p w:rsidR="00C801AA" w:rsidRPr="005E354B" w:rsidRDefault="00C801AA" w:rsidP="00635FA1">
      <w:pPr>
        <w:spacing w:after="0" w:line="240" w:lineRule="auto"/>
        <w:jc w:val="both"/>
      </w:pPr>
      <w:r w:rsidRPr="005E354B">
        <w:t xml:space="preserve">Personal Independence Payment was introduced in 2013 to replace Disability Living Allowance to support people with long term health conditions or disabilities who </w:t>
      </w:r>
      <w:r w:rsidRPr="005E354B">
        <w:rPr>
          <w:lang w:val="en"/>
        </w:rPr>
        <w:t>have difficulties with activitie</w:t>
      </w:r>
      <w:r w:rsidR="00425A7A">
        <w:rPr>
          <w:lang w:val="en"/>
        </w:rPr>
        <w:t>s related to ‘daily living’ and/</w:t>
      </w:r>
      <w:r w:rsidRPr="005E354B">
        <w:rPr>
          <w:lang w:val="en"/>
        </w:rPr>
        <w:t>or mobility.</w:t>
      </w:r>
    </w:p>
    <w:p w:rsidR="00C801AA" w:rsidRPr="005E354B" w:rsidRDefault="00C801AA" w:rsidP="00635FA1">
      <w:pPr>
        <w:spacing w:after="0" w:line="240" w:lineRule="auto"/>
        <w:jc w:val="both"/>
      </w:pPr>
    </w:p>
    <w:p w:rsidR="00C801AA" w:rsidRPr="005E354B" w:rsidRDefault="00C801AA" w:rsidP="00635FA1">
      <w:pPr>
        <w:spacing w:after="0" w:line="240" w:lineRule="auto"/>
        <w:jc w:val="both"/>
      </w:pPr>
      <w:r w:rsidRPr="005E354B">
        <w:t xml:space="preserve">More information can be found online at: </w:t>
      </w:r>
      <w:hyperlink r:id="rId30" w:history="1">
        <w:r w:rsidR="002F653D" w:rsidRPr="002F653D">
          <w:rPr>
            <w:rStyle w:val="Hyperlink"/>
            <w:b/>
            <w:color w:val="0070C0"/>
          </w:rPr>
          <w:t>www.gov.uk/pip/overview</w:t>
        </w:r>
      </w:hyperlink>
      <w:r w:rsidR="002F653D">
        <w:rPr>
          <w:b/>
        </w:rPr>
        <w:t xml:space="preserve"> </w:t>
      </w:r>
      <w:r w:rsidRPr="005E354B">
        <w:t xml:space="preserve">or by calling the General Helpline on </w:t>
      </w:r>
      <w:r w:rsidRPr="002F653D">
        <w:rPr>
          <w:b/>
          <w:color w:val="0070C0"/>
          <w:lang w:val="en"/>
        </w:rPr>
        <w:t>0345 850 3322</w:t>
      </w:r>
      <w:r>
        <w:rPr>
          <w:b/>
          <w:lang w:val="en"/>
        </w:rPr>
        <w:t>.</w:t>
      </w:r>
    </w:p>
    <w:p w:rsidR="00C801AA" w:rsidRDefault="00C801AA" w:rsidP="00635FA1">
      <w:pPr>
        <w:spacing w:after="0" w:line="240" w:lineRule="auto"/>
        <w:jc w:val="both"/>
        <w:rPr>
          <w:b/>
          <w:sz w:val="28"/>
          <w:szCs w:val="28"/>
          <w:u w:val="single"/>
        </w:rPr>
      </w:pPr>
    </w:p>
    <w:p w:rsidR="002E7C6A" w:rsidRPr="005E354B" w:rsidRDefault="002E7C6A" w:rsidP="00635FA1">
      <w:pPr>
        <w:spacing w:after="0" w:line="240" w:lineRule="auto"/>
        <w:jc w:val="both"/>
        <w:rPr>
          <w:b/>
          <w:sz w:val="28"/>
          <w:szCs w:val="28"/>
          <w:u w:val="single"/>
        </w:rPr>
      </w:pPr>
    </w:p>
    <w:p w:rsidR="00C801AA" w:rsidRPr="005E354B" w:rsidRDefault="00C801AA" w:rsidP="00635FA1">
      <w:pPr>
        <w:spacing w:after="0" w:line="240" w:lineRule="auto"/>
        <w:jc w:val="both"/>
        <w:rPr>
          <w:b/>
          <w:sz w:val="28"/>
          <w:szCs w:val="28"/>
        </w:rPr>
      </w:pPr>
      <w:r w:rsidRPr="005E354B">
        <w:rPr>
          <w:b/>
          <w:sz w:val="28"/>
          <w:szCs w:val="28"/>
        </w:rPr>
        <w:t>Independent Benefit Advice</w:t>
      </w:r>
    </w:p>
    <w:p w:rsidR="00C801AA" w:rsidRPr="005E354B" w:rsidRDefault="00C801AA" w:rsidP="00635FA1">
      <w:pPr>
        <w:spacing w:after="0" w:line="240" w:lineRule="auto"/>
        <w:jc w:val="both"/>
      </w:pPr>
    </w:p>
    <w:p w:rsidR="00C801AA" w:rsidRPr="005E354B" w:rsidRDefault="00C801AA" w:rsidP="00635FA1">
      <w:pPr>
        <w:spacing w:after="0" w:line="240" w:lineRule="auto"/>
        <w:jc w:val="both"/>
      </w:pPr>
      <w:r w:rsidRPr="005E354B">
        <w:t>Free independent advice and information about benefits and welfare can be obtained through your local Citizen’s Advice Bureau and Welfare Rights Department.</w:t>
      </w:r>
    </w:p>
    <w:p w:rsidR="00C801AA" w:rsidRPr="005E354B" w:rsidRDefault="00C801AA" w:rsidP="00635FA1">
      <w:pPr>
        <w:spacing w:after="0" w:line="240" w:lineRule="auto"/>
        <w:jc w:val="both"/>
      </w:pPr>
    </w:p>
    <w:p w:rsidR="00C801AA" w:rsidRPr="005E354B" w:rsidRDefault="00C801AA" w:rsidP="00635FA1">
      <w:pPr>
        <w:spacing w:after="0" w:line="240" w:lineRule="auto"/>
        <w:jc w:val="both"/>
        <w:rPr>
          <w:b/>
          <w:sz w:val="28"/>
          <w:szCs w:val="28"/>
          <w:u w:val="single"/>
        </w:rPr>
      </w:pPr>
    </w:p>
    <w:p w:rsidR="00C801AA" w:rsidRPr="002E7C6A" w:rsidRDefault="00C801AA" w:rsidP="00635FA1">
      <w:pPr>
        <w:shd w:val="clear" w:color="auto" w:fill="0099CC"/>
        <w:spacing w:after="0" w:line="240" w:lineRule="auto"/>
        <w:jc w:val="both"/>
        <w:rPr>
          <w:b/>
          <w:color w:val="FFFFFF" w:themeColor="background1"/>
          <w:sz w:val="28"/>
          <w:szCs w:val="28"/>
        </w:rPr>
      </w:pPr>
      <w:r w:rsidRPr="002E7C6A">
        <w:rPr>
          <w:b/>
          <w:color w:val="FFFFFF" w:themeColor="background1"/>
          <w:sz w:val="28"/>
          <w:szCs w:val="28"/>
        </w:rPr>
        <w:t>Planning Ahead</w:t>
      </w:r>
    </w:p>
    <w:p w:rsidR="00C801AA" w:rsidRPr="005E354B" w:rsidRDefault="00C801AA" w:rsidP="00635FA1">
      <w:pPr>
        <w:spacing w:after="0" w:line="240" w:lineRule="auto"/>
        <w:jc w:val="both"/>
      </w:pPr>
    </w:p>
    <w:p w:rsidR="00C801AA" w:rsidRDefault="00C801AA" w:rsidP="00635FA1">
      <w:pPr>
        <w:spacing w:after="0" w:line="240" w:lineRule="auto"/>
        <w:jc w:val="both"/>
      </w:pPr>
      <w:r w:rsidRPr="005E354B">
        <w:t xml:space="preserve">Creating a monthly income and expenditure plan and ensuring that outgoings are kept to a minimum where necessary </w:t>
      </w:r>
      <w:r>
        <w:t>is</w:t>
      </w:r>
      <w:r w:rsidRPr="005E354B">
        <w:t xml:space="preserve"> key to ensuring that student finances are manageable t</w:t>
      </w:r>
      <w:r>
        <w:t>hroughout any period of study</w:t>
      </w:r>
      <w:r w:rsidRPr="005E354B">
        <w:t xml:space="preserve">. </w:t>
      </w:r>
    </w:p>
    <w:p w:rsidR="00C801AA" w:rsidRPr="005E354B" w:rsidRDefault="00C801AA" w:rsidP="00635FA1">
      <w:pPr>
        <w:spacing w:after="0" w:line="240" w:lineRule="auto"/>
        <w:jc w:val="both"/>
      </w:pPr>
    </w:p>
    <w:p w:rsidR="00C801AA" w:rsidRDefault="00C801AA" w:rsidP="00635FA1">
      <w:pPr>
        <w:spacing w:after="0" w:line="240" w:lineRule="auto"/>
        <w:jc w:val="both"/>
      </w:pPr>
      <w:r>
        <w:t>Advice and support with all aspects of funding and budgeting is available from the Advisory Team.</w:t>
      </w:r>
    </w:p>
    <w:p w:rsidR="00C801AA" w:rsidRDefault="00C801AA" w:rsidP="00635FA1">
      <w:pPr>
        <w:spacing w:after="0" w:line="240" w:lineRule="auto"/>
        <w:jc w:val="both"/>
        <w:rPr>
          <w:b/>
          <w:sz w:val="28"/>
          <w:szCs w:val="28"/>
        </w:rPr>
      </w:pPr>
    </w:p>
    <w:p w:rsidR="00C801AA" w:rsidRPr="00215B90" w:rsidRDefault="00C801AA" w:rsidP="00635FA1">
      <w:pPr>
        <w:spacing w:after="0" w:line="240" w:lineRule="auto"/>
        <w:jc w:val="both"/>
        <w:rPr>
          <w:b/>
          <w:sz w:val="28"/>
          <w:szCs w:val="28"/>
        </w:rPr>
      </w:pPr>
      <w:r w:rsidRPr="00215B90">
        <w:rPr>
          <w:b/>
          <w:sz w:val="28"/>
          <w:szCs w:val="28"/>
        </w:rPr>
        <w:t>The Advisory Team</w:t>
      </w:r>
    </w:p>
    <w:p w:rsidR="00C801AA" w:rsidRPr="005E354B" w:rsidRDefault="00C801AA" w:rsidP="00635FA1">
      <w:pPr>
        <w:spacing w:after="0" w:line="240" w:lineRule="auto"/>
        <w:jc w:val="both"/>
        <w:rPr>
          <w:b/>
        </w:rPr>
      </w:pPr>
      <w:r w:rsidRPr="005E354B">
        <w:rPr>
          <w:b/>
        </w:rPr>
        <w:t>Student Services</w:t>
      </w:r>
    </w:p>
    <w:p w:rsidR="00C801AA" w:rsidRPr="005E354B" w:rsidRDefault="00C801AA" w:rsidP="00635FA1">
      <w:pPr>
        <w:spacing w:after="0" w:line="240" w:lineRule="auto"/>
        <w:jc w:val="both"/>
        <w:rPr>
          <w:b/>
        </w:rPr>
      </w:pPr>
      <w:r w:rsidRPr="005E354B">
        <w:rPr>
          <w:b/>
        </w:rPr>
        <w:t>Level 2 Bernard King Library</w:t>
      </w:r>
    </w:p>
    <w:p w:rsidR="00C801AA" w:rsidRPr="005E354B" w:rsidRDefault="00C801AA" w:rsidP="00635FA1">
      <w:pPr>
        <w:spacing w:after="0" w:line="240" w:lineRule="auto"/>
        <w:jc w:val="both"/>
        <w:rPr>
          <w:b/>
        </w:rPr>
      </w:pPr>
      <w:r w:rsidRPr="005E354B">
        <w:rPr>
          <w:b/>
        </w:rPr>
        <w:t>Abertay University</w:t>
      </w:r>
    </w:p>
    <w:p w:rsidR="00C801AA" w:rsidRPr="005E354B" w:rsidRDefault="00C801AA" w:rsidP="00635FA1">
      <w:pPr>
        <w:spacing w:after="0" w:line="240" w:lineRule="auto"/>
        <w:jc w:val="both"/>
        <w:rPr>
          <w:b/>
        </w:rPr>
      </w:pPr>
      <w:r w:rsidRPr="005E354B">
        <w:rPr>
          <w:b/>
        </w:rPr>
        <w:t>Bell Street</w:t>
      </w:r>
    </w:p>
    <w:p w:rsidR="00C801AA" w:rsidRPr="005E354B" w:rsidRDefault="00C801AA" w:rsidP="00635FA1">
      <w:pPr>
        <w:spacing w:after="0" w:line="240" w:lineRule="auto"/>
        <w:jc w:val="both"/>
        <w:rPr>
          <w:b/>
        </w:rPr>
      </w:pPr>
      <w:r w:rsidRPr="005E354B">
        <w:rPr>
          <w:b/>
        </w:rPr>
        <w:t>Dundee</w:t>
      </w:r>
    </w:p>
    <w:p w:rsidR="00C801AA" w:rsidRPr="005E354B" w:rsidRDefault="00C801AA" w:rsidP="00635FA1">
      <w:pPr>
        <w:spacing w:after="0" w:line="240" w:lineRule="auto"/>
        <w:jc w:val="both"/>
        <w:rPr>
          <w:b/>
        </w:rPr>
      </w:pPr>
      <w:r>
        <w:rPr>
          <w:b/>
        </w:rPr>
        <w:t>DD</w:t>
      </w:r>
      <w:r w:rsidRPr="005E354B">
        <w:rPr>
          <w:b/>
        </w:rPr>
        <w:t>1 1HG</w:t>
      </w:r>
    </w:p>
    <w:p w:rsidR="00C801AA" w:rsidRPr="005E354B" w:rsidRDefault="00C801AA" w:rsidP="00635FA1">
      <w:pPr>
        <w:spacing w:after="0" w:line="240" w:lineRule="auto"/>
        <w:jc w:val="both"/>
        <w:rPr>
          <w:b/>
        </w:rPr>
      </w:pPr>
    </w:p>
    <w:p w:rsidR="00C801AA" w:rsidRPr="005E354B" w:rsidRDefault="00C801AA" w:rsidP="00635FA1">
      <w:pPr>
        <w:spacing w:after="0" w:line="240" w:lineRule="auto"/>
        <w:jc w:val="both"/>
        <w:rPr>
          <w:b/>
        </w:rPr>
      </w:pPr>
      <w:r w:rsidRPr="005E354B">
        <w:rPr>
          <w:b/>
        </w:rPr>
        <w:t>01382 308051</w:t>
      </w:r>
    </w:p>
    <w:p w:rsidR="00DB02C1" w:rsidRPr="00635FA1" w:rsidRDefault="00C801AA" w:rsidP="00635FA1">
      <w:pPr>
        <w:spacing w:after="0" w:line="240" w:lineRule="auto"/>
        <w:jc w:val="both"/>
        <w:rPr>
          <w:b/>
        </w:rPr>
      </w:pPr>
      <w:r w:rsidRPr="005E354B">
        <w:rPr>
          <w:b/>
        </w:rPr>
        <w:t>advisory@abertay.ac.uk</w:t>
      </w:r>
    </w:p>
    <w:sectPr w:rsidR="00DB02C1" w:rsidRPr="00635FA1" w:rsidSect="00DB0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T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02F4C"/>
    <w:multiLevelType w:val="hybridMultilevel"/>
    <w:tmpl w:val="8104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D4644"/>
    <w:multiLevelType w:val="hybridMultilevel"/>
    <w:tmpl w:val="C152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E24224"/>
    <w:multiLevelType w:val="hybridMultilevel"/>
    <w:tmpl w:val="63588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75C7D"/>
    <w:multiLevelType w:val="hybridMultilevel"/>
    <w:tmpl w:val="C470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F2"/>
    <w:rsid w:val="001B2CF2"/>
    <w:rsid w:val="002E7C6A"/>
    <w:rsid w:val="002F653D"/>
    <w:rsid w:val="003D1478"/>
    <w:rsid w:val="00425A7A"/>
    <w:rsid w:val="00471626"/>
    <w:rsid w:val="004D1C09"/>
    <w:rsid w:val="00563339"/>
    <w:rsid w:val="00635FA1"/>
    <w:rsid w:val="007655DD"/>
    <w:rsid w:val="00785B6C"/>
    <w:rsid w:val="00A44F29"/>
    <w:rsid w:val="00B81B13"/>
    <w:rsid w:val="00C801AA"/>
    <w:rsid w:val="00D0168E"/>
    <w:rsid w:val="00DB02C1"/>
    <w:rsid w:val="00EA331B"/>
    <w:rsid w:val="00FF4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086C6-36E7-4572-A282-71A71C3C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CF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B2CF2"/>
    <w:rPr>
      <w:color w:val="0000FF" w:themeColor="hyperlink"/>
      <w:u w:val="single"/>
    </w:rPr>
  </w:style>
  <w:style w:type="paragraph" w:styleId="ListParagraph">
    <w:name w:val="List Paragraph"/>
    <w:basedOn w:val="Normal"/>
    <w:uiPriority w:val="34"/>
    <w:qFormat/>
    <w:rsid w:val="001B2CF2"/>
    <w:pPr>
      <w:ind w:left="720"/>
      <w:contextualSpacing/>
    </w:pPr>
  </w:style>
  <w:style w:type="character" w:styleId="Strong">
    <w:name w:val="Strong"/>
    <w:basedOn w:val="DefaultParagraphFont"/>
    <w:uiPriority w:val="22"/>
    <w:qFormat/>
    <w:rsid w:val="001B2CF2"/>
    <w:rPr>
      <w:b/>
      <w:bCs/>
    </w:rPr>
  </w:style>
  <w:style w:type="paragraph" w:styleId="BalloonText">
    <w:name w:val="Balloon Text"/>
    <w:basedOn w:val="Normal"/>
    <w:link w:val="BalloonTextChar"/>
    <w:uiPriority w:val="99"/>
    <w:semiHidden/>
    <w:unhideWhenUsed/>
    <w:rsid w:val="0078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B6C"/>
    <w:rPr>
      <w:rFonts w:ascii="Tahoma" w:hAnsi="Tahoma" w:cs="Tahoma"/>
      <w:sz w:val="16"/>
      <w:szCs w:val="16"/>
    </w:rPr>
  </w:style>
  <w:style w:type="character" w:styleId="FollowedHyperlink">
    <w:name w:val="FollowedHyperlink"/>
    <w:basedOn w:val="DefaultParagraphFont"/>
    <w:uiPriority w:val="99"/>
    <w:semiHidden/>
    <w:unhideWhenUsed/>
    <w:rsid w:val="004D1C09"/>
    <w:rPr>
      <w:color w:val="800080" w:themeColor="followedHyperlink"/>
      <w:u w:val="single"/>
    </w:rPr>
  </w:style>
  <w:style w:type="table" w:styleId="TableGrid">
    <w:name w:val="Table Grid"/>
    <w:basedOn w:val="TableNormal"/>
    <w:uiPriority w:val="59"/>
    <w:rsid w:val="00C80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DefaultParagraphFont"/>
    <w:rsid w:val="00C8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bertayAdvisory" TargetMode="External"/><Relationship Id="rId13" Type="http://schemas.openxmlformats.org/officeDocument/2006/relationships/hyperlink" Target="http://www.unigrants.co.uk" TargetMode="External"/><Relationship Id="rId18" Type="http://schemas.openxmlformats.org/officeDocument/2006/relationships/hyperlink" Target="http://www.educationuk.org/global/articles/scholarships-financial-support/" TargetMode="External"/><Relationship Id="rId26" Type="http://schemas.openxmlformats.org/officeDocument/2006/relationships/hyperlink" Target="http://www.dsc.org.uk/publication/the-directory-of-grant-making-trusts-201617/" TargetMode="External"/><Relationship Id="rId3" Type="http://schemas.openxmlformats.org/officeDocument/2006/relationships/settings" Target="settings.xml"/><Relationship Id="rId21" Type="http://schemas.openxmlformats.org/officeDocument/2006/relationships/hyperlink" Target="http://www.princes-trust.org.uk/help-for-young-people/who-else/employment/grants-funding" TargetMode="External"/><Relationship Id="rId7" Type="http://schemas.openxmlformats.org/officeDocument/2006/relationships/hyperlink" Target="https://www.saas.gov.uk/part_time/ug/index.htm" TargetMode="External"/><Relationship Id="rId12" Type="http://schemas.openxmlformats.org/officeDocument/2006/relationships/hyperlink" Target="http://www.scholarship-search.org.uk" TargetMode="External"/><Relationship Id="rId17" Type="http://schemas.openxmlformats.org/officeDocument/2006/relationships/hyperlink" Target="http://www.britishcouncil.org/study-work-create/practicalities/funding-studies" TargetMode="External"/><Relationship Id="rId25" Type="http://schemas.openxmlformats.org/officeDocument/2006/relationships/hyperlink" Target="http://www.iefa.org/" TargetMode="External"/><Relationship Id="rId2" Type="http://schemas.openxmlformats.org/officeDocument/2006/relationships/styles" Target="styles.xml"/><Relationship Id="rId16" Type="http://schemas.openxmlformats.org/officeDocument/2006/relationships/hyperlink" Target="http://www.scotland.org/study-in-scotland/scholarships" TargetMode="External"/><Relationship Id="rId20" Type="http://schemas.openxmlformats.org/officeDocument/2006/relationships/hyperlink" Target="http://www.grantsforindividuals.org.uk/default.aspx" TargetMode="External"/><Relationship Id="rId29" Type="http://schemas.openxmlformats.org/officeDocument/2006/relationships/hyperlink" Target="http://www.gov.uk/childcare-tax-credits/eligibility"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urn2us.org.uk/grants_search.aspx" TargetMode="External"/><Relationship Id="rId24" Type="http://schemas.openxmlformats.org/officeDocument/2006/relationships/hyperlink" Target="http://www.ahrc.ac.uk/funding/" TargetMode="External"/><Relationship Id="rId32" Type="http://schemas.openxmlformats.org/officeDocument/2006/relationships/theme" Target="theme/theme1.xml"/><Relationship Id="rId5" Type="http://schemas.openxmlformats.org/officeDocument/2006/relationships/hyperlink" Target="http://www.abertay.ac.uk/" TargetMode="External"/><Relationship Id="rId15" Type="http://schemas.openxmlformats.org/officeDocument/2006/relationships/hyperlink" Target="http://www.saas.gov.uk/_forms/ree1.pdf" TargetMode="External"/><Relationship Id="rId23" Type="http://schemas.openxmlformats.org/officeDocument/2006/relationships/hyperlink" Target="http://www.esrc.ac.uk/funding/funding-opportunities/" TargetMode="External"/><Relationship Id="rId28" Type="http://schemas.openxmlformats.org/officeDocument/2006/relationships/hyperlink" Target="http://www.gov.uk/working-tax-credit/eligibility" TargetMode="External"/><Relationship Id="rId10" Type="http://schemas.openxmlformats.org/officeDocument/2006/relationships/hyperlink" Target="http://www.family-action.org.uk/section.aspx?id=21211" TargetMode="External"/><Relationship Id="rId19" Type="http://schemas.openxmlformats.org/officeDocument/2006/relationships/hyperlink" Target="https://beta.prospects.ac.uk/postgraduate-study/funding-postgraduate-stud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itter.com/AbertayAdvisory" TargetMode="External"/><Relationship Id="rId14" Type="http://schemas.openxmlformats.org/officeDocument/2006/relationships/hyperlink" Target="http://www.postgraduatestudentships.co.uk/subject/all-subjects/pgt" TargetMode="External"/><Relationship Id="rId22" Type="http://schemas.openxmlformats.org/officeDocument/2006/relationships/hyperlink" Target="http://www.findamasters.com/funding/postgraduate-masters-scholarships/" TargetMode="External"/><Relationship Id="rId27" Type="http://schemas.openxmlformats.org/officeDocument/2006/relationships/hyperlink" Target="http://www.trustfunding.org.uk/search.aspx" TargetMode="External"/><Relationship Id="rId30" Type="http://schemas.openxmlformats.org/officeDocument/2006/relationships/hyperlink" Target="http://www.gov.uk/pip/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UAD</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Sarah</dc:creator>
  <cp:lastModifiedBy>Gareth Mailer</cp:lastModifiedBy>
  <cp:revision>2</cp:revision>
  <cp:lastPrinted>2015-08-13T08:51:00Z</cp:lastPrinted>
  <dcterms:created xsi:type="dcterms:W3CDTF">2017-09-18T11:51:00Z</dcterms:created>
  <dcterms:modified xsi:type="dcterms:W3CDTF">2017-09-18T11:51:00Z</dcterms:modified>
</cp:coreProperties>
</file>